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FAF9ED" w14:textId="0025A0E1" w:rsidR="00BC5CCA" w:rsidRPr="00BC5CCA" w:rsidRDefault="00AA07AC" w:rsidP="00BC5CCA">
      <w:pPr>
        <w:pStyle w:val="CdDTitre"/>
        <w:spacing w:before="1320"/>
        <w:rPr>
          <w:bCs/>
          <w:noProof/>
        </w:rPr>
      </w:pPr>
      <w:bookmarkStart w:id="0" w:name="_Hlk530669644"/>
      <w:r w:rsidRPr="00932BC6">
        <w:rPr>
          <w:bCs/>
          <w:noProof/>
        </w:rPr>
        <w:t>La mobilité résidentielle des seniors</w:t>
      </w:r>
      <w:r w:rsidRPr="00E64680">
        <w:rPr>
          <w:i/>
          <w:iCs/>
          <w:noProof/>
        </w:rPr>
        <w:t xml:space="preserve"> </w:t>
      </w:r>
      <w:r w:rsidRPr="00E64680">
        <w:rPr>
          <w:i/>
          <w:iCs/>
          <w:noProof/>
        </w:rPr>
        <w:drawing>
          <wp:anchor distT="0" distB="0" distL="114300" distR="114300" simplePos="0" relativeHeight="251659264" behindDoc="0" locked="0" layoutInCell="1" allowOverlap="1" wp14:anchorId="4A8DBDFF" wp14:editId="5FBF55E9">
            <wp:simplePos x="0" y="0"/>
            <wp:positionH relativeFrom="page">
              <wp:posOffset>0</wp:posOffset>
            </wp:positionH>
            <wp:positionV relativeFrom="paragraph">
              <wp:posOffset>-1250950</wp:posOffset>
            </wp:positionV>
            <wp:extent cx="6666865" cy="1724025"/>
            <wp:effectExtent l="0" t="0" r="0" b="9525"/>
            <wp:wrapNone/>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CAISSE_DES_DEPOTS_COMMUNIQUE_PRESSE-01.png"/>
                    <pic:cNvPicPr preferRelativeResize="0"/>
                  </pic:nvPicPr>
                  <pic:blipFill>
                    <a:blip r:embed="rId8"/>
                    <a:stretch>
                      <a:fillRect/>
                    </a:stretch>
                  </pic:blipFill>
                  <pic:spPr>
                    <a:xfrm>
                      <a:off x="0" y="0"/>
                      <a:ext cx="6666865" cy="1724025"/>
                    </a:xfrm>
                    <a:prstGeom prst="rect">
                      <a:avLst/>
                    </a:prstGeom>
                  </pic:spPr>
                </pic:pic>
              </a:graphicData>
            </a:graphic>
            <wp14:sizeRelH relativeFrom="margin">
              <wp14:pctWidth>0</wp14:pctWidth>
            </wp14:sizeRelH>
            <wp14:sizeRelV relativeFrom="margin">
              <wp14:pctHeight>0</wp14:pctHeight>
            </wp14:sizeRelV>
          </wp:anchor>
        </w:drawing>
      </w:r>
      <w:r>
        <w:rPr>
          <w:i/>
          <w:iCs/>
          <w:noProof/>
        </w:rPr>
        <w:t xml:space="preserve">- </w:t>
      </w:r>
      <w:r w:rsidR="0023336C" w:rsidRPr="0023336C">
        <w:rPr>
          <w:bCs/>
          <w:i/>
          <w:iCs/>
          <w:noProof/>
        </w:rPr>
        <w:t>Questions politiques sociales – Les études</w:t>
      </w:r>
      <w:r w:rsidR="0023336C" w:rsidRPr="00E64680">
        <w:rPr>
          <w:bCs/>
          <w:i/>
          <w:iCs/>
          <w:noProof/>
        </w:rPr>
        <w:t xml:space="preserve"> </w:t>
      </w:r>
      <w:bookmarkStart w:id="1" w:name="_Hlk69141631"/>
      <w:bookmarkStart w:id="2" w:name="_Hlk866164"/>
      <w:bookmarkEnd w:id="0"/>
      <w:r w:rsidR="0023336C" w:rsidRPr="00E64680">
        <w:rPr>
          <w:bCs/>
          <w:i/>
          <w:iCs/>
          <w:noProof/>
        </w:rPr>
        <w:t>3</w:t>
      </w:r>
      <w:r w:rsidR="001D49B5">
        <w:rPr>
          <w:bCs/>
          <w:i/>
          <w:iCs/>
          <w:noProof/>
        </w:rPr>
        <w:t>8</w:t>
      </w:r>
    </w:p>
    <w:p w14:paraId="2AEB8246" w14:textId="014486FB" w:rsidR="00486DCD" w:rsidRPr="00532784" w:rsidRDefault="00B756A3" w:rsidP="00F31EA0">
      <w:pPr>
        <w:ind w:left="-14"/>
        <w:rPr>
          <w:szCs w:val="20"/>
        </w:rPr>
      </w:pPr>
      <w:r w:rsidRPr="00532784">
        <w:rPr>
          <w:szCs w:val="20"/>
        </w:rPr>
        <w:t xml:space="preserve">Paris, le </w:t>
      </w:r>
      <w:r w:rsidR="001D49B5" w:rsidRPr="00532784">
        <w:rPr>
          <w:szCs w:val="20"/>
        </w:rPr>
        <w:t>10 novembre</w:t>
      </w:r>
      <w:r w:rsidR="00704BD7" w:rsidRPr="00532784">
        <w:rPr>
          <w:szCs w:val="20"/>
        </w:rPr>
        <w:t xml:space="preserve"> 2022</w:t>
      </w:r>
    </w:p>
    <w:p w14:paraId="27F18D13" w14:textId="77777777" w:rsidR="00486DCD" w:rsidRPr="00BC5CCA" w:rsidRDefault="00486DCD" w:rsidP="00F31EA0">
      <w:pPr>
        <w:ind w:left="-14"/>
        <w:rPr>
          <w:sz w:val="22"/>
        </w:rPr>
      </w:pPr>
    </w:p>
    <w:bookmarkEnd w:id="1"/>
    <w:p w14:paraId="456BDF09" w14:textId="3E99915C" w:rsidR="006C421C" w:rsidRPr="00532784" w:rsidDel="00F868F2" w:rsidRDefault="001D52A7" w:rsidP="006C421C">
      <w:pPr>
        <w:jc w:val="both"/>
        <w:rPr>
          <w:rFonts w:ascii="Arial" w:hAnsi="Arial" w:cs="Arial"/>
          <w:b/>
          <w:bCs/>
          <w:szCs w:val="20"/>
        </w:rPr>
      </w:pPr>
      <w:r w:rsidRPr="00532784">
        <w:rPr>
          <w:rFonts w:ascii="Arial" w:hAnsi="Arial" w:cs="Arial"/>
          <w:b/>
          <w:bCs/>
          <w:szCs w:val="20"/>
        </w:rPr>
        <w:t xml:space="preserve">La Caisse des Dépôts publie le </w:t>
      </w:r>
      <w:r w:rsidR="0023336C" w:rsidRPr="00532784">
        <w:rPr>
          <w:rFonts w:ascii="Arial" w:hAnsi="Arial" w:cs="Arial"/>
          <w:b/>
          <w:bCs/>
          <w:szCs w:val="20"/>
        </w:rPr>
        <w:t>3</w:t>
      </w:r>
      <w:r w:rsidR="001D49B5" w:rsidRPr="00532784">
        <w:rPr>
          <w:rFonts w:ascii="Arial" w:hAnsi="Arial" w:cs="Arial"/>
          <w:b/>
          <w:bCs/>
          <w:szCs w:val="20"/>
        </w:rPr>
        <w:t>8</w:t>
      </w:r>
      <w:r w:rsidR="004552A0" w:rsidRPr="00532784">
        <w:rPr>
          <w:rFonts w:ascii="Arial" w:hAnsi="Arial" w:cs="Arial"/>
          <w:b/>
          <w:bCs/>
          <w:szCs w:val="20"/>
          <w:vertAlign w:val="superscript"/>
        </w:rPr>
        <w:t>e</w:t>
      </w:r>
      <w:r w:rsidR="0023336C" w:rsidRPr="00532784">
        <w:rPr>
          <w:rFonts w:ascii="Arial" w:hAnsi="Arial" w:cs="Arial"/>
          <w:b/>
          <w:bCs/>
          <w:szCs w:val="20"/>
        </w:rPr>
        <w:t xml:space="preserve"> </w:t>
      </w:r>
      <w:r w:rsidR="00834965" w:rsidRPr="00532784">
        <w:rPr>
          <w:rFonts w:ascii="Arial" w:hAnsi="Arial" w:cs="Arial"/>
          <w:b/>
          <w:bCs/>
          <w:szCs w:val="20"/>
        </w:rPr>
        <w:t xml:space="preserve">numéro de </w:t>
      </w:r>
      <w:r w:rsidRPr="00532784">
        <w:rPr>
          <w:rFonts w:ascii="Arial" w:hAnsi="Arial" w:cs="Arial"/>
          <w:b/>
          <w:bCs/>
          <w:i/>
          <w:iCs/>
          <w:szCs w:val="20"/>
        </w:rPr>
        <w:t>Questions politiques sociales – Les</w:t>
      </w:r>
      <w:r w:rsidR="00E417C8" w:rsidRPr="00532784">
        <w:rPr>
          <w:rFonts w:ascii="Arial" w:hAnsi="Arial" w:cs="Arial"/>
          <w:b/>
          <w:bCs/>
          <w:i/>
          <w:iCs/>
          <w:szCs w:val="20"/>
        </w:rPr>
        <w:t xml:space="preserve"> études </w:t>
      </w:r>
      <w:r w:rsidR="00E417C8" w:rsidRPr="00532784">
        <w:rPr>
          <w:rFonts w:ascii="Arial" w:hAnsi="Arial" w:cs="Arial"/>
          <w:b/>
          <w:bCs/>
          <w:szCs w:val="20"/>
        </w:rPr>
        <w:t>consacré à la mobilité résidentielle des seniors</w:t>
      </w:r>
      <w:r w:rsidR="0032373B" w:rsidRPr="00532784">
        <w:rPr>
          <w:rFonts w:ascii="Arial" w:hAnsi="Arial" w:cs="Arial"/>
          <w:b/>
          <w:bCs/>
          <w:szCs w:val="20"/>
        </w:rPr>
        <w:t> :</w:t>
      </w:r>
      <w:r w:rsidR="00E417C8" w:rsidRPr="00532784">
        <w:rPr>
          <w:rFonts w:ascii="Arial" w:hAnsi="Arial" w:cs="Arial"/>
          <w:b/>
          <w:bCs/>
          <w:szCs w:val="20"/>
        </w:rPr>
        <w:t xml:space="preserve"> </w:t>
      </w:r>
      <w:r w:rsidR="0032373B" w:rsidRPr="00532784">
        <w:rPr>
          <w:rFonts w:ascii="Arial" w:hAnsi="Arial" w:cs="Arial"/>
          <w:b/>
          <w:bCs/>
          <w:szCs w:val="20"/>
        </w:rPr>
        <w:t>quelles en sont les motivations</w:t>
      </w:r>
      <w:r w:rsidR="00E417C8" w:rsidRPr="00532784">
        <w:rPr>
          <w:rFonts w:ascii="Arial" w:hAnsi="Arial" w:cs="Arial"/>
          <w:b/>
          <w:bCs/>
          <w:szCs w:val="20"/>
        </w:rPr>
        <w:t xml:space="preserve"> et les conséquences</w:t>
      </w:r>
      <w:r w:rsidR="00932BC6" w:rsidRPr="00532784">
        <w:rPr>
          <w:rFonts w:ascii="Arial" w:hAnsi="Arial" w:cs="Arial"/>
          <w:b/>
          <w:bCs/>
          <w:szCs w:val="20"/>
        </w:rPr>
        <w:t> ?</w:t>
      </w:r>
    </w:p>
    <w:p w14:paraId="0F1987F7" w14:textId="77777777" w:rsidR="001D52A7" w:rsidRPr="0044654C" w:rsidRDefault="001D52A7" w:rsidP="00BF7418">
      <w:pPr>
        <w:rPr>
          <w:b/>
          <w:bCs/>
          <w:szCs w:val="20"/>
        </w:rPr>
      </w:pPr>
    </w:p>
    <w:p w14:paraId="68099768" w14:textId="05388EFB" w:rsidR="0032373B" w:rsidRPr="00532784" w:rsidRDefault="0032373B" w:rsidP="0032373B">
      <w:pPr>
        <w:rPr>
          <w:b/>
          <w:bCs/>
          <w:szCs w:val="20"/>
        </w:rPr>
      </w:pPr>
      <w:r w:rsidRPr="00532784">
        <w:rPr>
          <w:b/>
          <w:bCs/>
          <w:szCs w:val="20"/>
        </w:rPr>
        <w:t>Des mobilités plus importantes au moment de la retraite et au grand âge</w:t>
      </w:r>
    </w:p>
    <w:p w14:paraId="4D93D978" w14:textId="10214966" w:rsidR="00E417C8" w:rsidRPr="00532784" w:rsidRDefault="00261B5C" w:rsidP="00BC5CCA">
      <w:pPr>
        <w:jc w:val="both"/>
        <w:rPr>
          <w:szCs w:val="20"/>
        </w:rPr>
      </w:pPr>
      <w:r w:rsidRPr="00532784">
        <w:rPr>
          <w:szCs w:val="20"/>
        </w:rPr>
        <w:t>Chaque année, environ 5 % des 55-64 ans changent de résidence. Ces mobilités se font nettement plus souvent vers des communes moins denses que la commune d’origine. La mobilité décroît ensuite pour s’établir à moins de 3 % entre 65 et 74 ans, avant de fortement rebondir après 85 ans (presque 6 %) en lien notamment avec les nombreuses entrées en établissements pour personnes âgées.</w:t>
      </w:r>
    </w:p>
    <w:p w14:paraId="1DE97E4E" w14:textId="5B5CBF3C" w:rsidR="0032373B" w:rsidRPr="00532784" w:rsidRDefault="0032373B" w:rsidP="0032373B">
      <w:pPr>
        <w:spacing w:before="240"/>
        <w:rPr>
          <w:b/>
          <w:bCs/>
          <w:szCs w:val="20"/>
        </w:rPr>
      </w:pPr>
      <w:r w:rsidRPr="00532784">
        <w:rPr>
          <w:b/>
          <w:bCs/>
          <w:szCs w:val="20"/>
        </w:rPr>
        <w:t>Une accessibilité des soins différente selon le lieu de destination</w:t>
      </w:r>
    </w:p>
    <w:p w14:paraId="650D3A0D" w14:textId="4979002F" w:rsidR="0032373B" w:rsidRPr="00532784" w:rsidRDefault="0032373B" w:rsidP="00BC5CCA">
      <w:pPr>
        <w:jc w:val="both"/>
        <w:rPr>
          <w:szCs w:val="20"/>
        </w:rPr>
      </w:pPr>
      <w:r w:rsidRPr="00532784">
        <w:rPr>
          <w:szCs w:val="20"/>
        </w:rPr>
        <w:t>Les mobilités résidentielles paraissent dans l’ensemble peu motivées par la volonté de bénéficier d’un meilleur accès aux soins médicaux</w:t>
      </w:r>
      <w:r w:rsidR="00B77A7F">
        <w:rPr>
          <w:szCs w:val="20"/>
        </w:rPr>
        <w:t>. L</w:t>
      </w:r>
      <w:r w:rsidRPr="00532784">
        <w:rPr>
          <w:szCs w:val="20"/>
        </w:rPr>
        <w:t xml:space="preserve">es mobilités à courte distance, les plus nombreuses, n’ont </w:t>
      </w:r>
      <w:r w:rsidR="00B77A7F">
        <w:rPr>
          <w:szCs w:val="20"/>
        </w:rPr>
        <w:t xml:space="preserve">en effet </w:t>
      </w:r>
      <w:r w:rsidRPr="00532784">
        <w:rPr>
          <w:szCs w:val="20"/>
        </w:rPr>
        <w:t>qu’un impact très limité sur l’accessibilité des soins alors que les seniors qui migrent vers des départements littoraux</w:t>
      </w:r>
      <w:r w:rsidR="00D81B9D">
        <w:rPr>
          <w:szCs w:val="20"/>
        </w:rPr>
        <w:t xml:space="preserve"> emménagent</w:t>
      </w:r>
      <w:r w:rsidRPr="00532784">
        <w:rPr>
          <w:szCs w:val="20"/>
        </w:rPr>
        <w:t xml:space="preserve"> beaucoup plus souvent dans une commune où l’accessibilité des soins est plus élevée</w:t>
      </w:r>
      <w:r w:rsidR="00B77A7F">
        <w:rPr>
          <w:szCs w:val="20"/>
        </w:rPr>
        <w:t>.</w:t>
      </w:r>
      <w:r w:rsidRPr="00532784">
        <w:rPr>
          <w:szCs w:val="20"/>
        </w:rPr>
        <w:t xml:space="preserve"> </w:t>
      </w:r>
      <w:r w:rsidR="00B77A7F">
        <w:rPr>
          <w:szCs w:val="20"/>
        </w:rPr>
        <w:t>On peut enfin observer que l</w:t>
      </w:r>
      <w:r w:rsidRPr="00532784">
        <w:rPr>
          <w:szCs w:val="20"/>
        </w:rPr>
        <w:t xml:space="preserve">es mobilités vers des départements ni littoraux, ni limitrophes du département d’origine, se font souvent vers des communes où l’accessibilité des soins est moins bonne que dans la commune d’origine (voir aussi </w:t>
      </w:r>
      <w:r w:rsidRPr="00532784">
        <w:rPr>
          <w:i/>
          <w:iCs/>
          <w:szCs w:val="20"/>
        </w:rPr>
        <w:t>QPS-Les études n°37</w:t>
      </w:r>
      <w:r w:rsidRPr="00532784">
        <w:rPr>
          <w:szCs w:val="20"/>
        </w:rPr>
        <w:t>).</w:t>
      </w:r>
    </w:p>
    <w:p w14:paraId="49A5E27D" w14:textId="40EF4E8A" w:rsidR="0032373B" w:rsidRPr="00532784" w:rsidRDefault="0032373B" w:rsidP="0032373B">
      <w:pPr>
        <w:spacing w:before="240"/>
        <w:rPr>
          <w:b/>
          <w:bCs/>
          <w:szCs w:val="20"/>
        </w:rPr>
      </w:pPr>
      <w:r w:rsidRPr="00532784">
        <w:rPr>
          <w:b/>
          <w:bCs/>
          <w:szCs w:val="20"/>
        </w:rPr>
        <w:t xml:space="preserve">Un solde migratoire positif des 55-64 ans en-dessous d’une ligne Cherbourg-Chambéry </w:t>
      </w:r>
    </w:p>
    <w:p w14:paraId="3D70549C" w14:textId="77777777" w:rsidR="0032373B" w:rsidRPr="00532784" w:rsidRDefault="0032373B" w:rsidP="0032373B">
      <w:pPr>
        <w:jc w:val="both"/>
        <w:rPr>
          <w:szCs w:val="20"/>
        </w:rPr>
      </w:pPr>
      <w:r w:rsidRPr="00532784">
        <w:rPr>
          <w:szCs w:val="20"/>
        </w:rPr>
        <w:t xml:space="preserve">Entre 55 et 64 ans, le solde migratoire est très négatif pour l’ensemble des départements d’Île-de-France au bénéfice des régions situées au sud-ouest d’une ligne Cherbourg-Chambéry. </w:t>
      </w:r>
    </w:p>
    <w:p w14:paraId="4BF1C02E" w14:textId="15A4D8C4" w:rsidR="0032373B" w:rsidRPr="00532784" w:rsidRDefault="0032373B" w:rsidP="0032373B">
      <w:pPr>
        <w:jc w:val="both"/>
        <w:rPr>
          <w:szCs w:val="20"/>
        </w:rPr>
      </w:pPr>
      <w:r w:rsidRPr="00532784">
        <w:rPr>
          <w:szCs w:val="20"/>
        </w:rPr>
        <w:t>Des disparités significatives apparaissent aussi en fonction du niveau d’étude</w:t>
      </w:r>
      <w:r w:rsidR="00D94346">
        <w:rPr>
          <w:szCs w:val="20"/>
        </w:rPr>
        <w:t>s</w:t>
      </w:r>
      <w:r w:rsidRPr="00532784">
        <w:rPr>
          <w:szCs w:val="20"/>
        </w:rPr>
        <w:t xml:space="preserve"> : les plus diplômés étant davantage susceptibles de migrer vers ces départements très attractifs. </w:t>
      </w:r>
    </w:p>
    <w:p w14:paraId="077438A5" w14:textId="30C777AC" w:rsidR="0032373B" w:rsidRPr="00532784" w:rsidRDefault="0032373B" w:rsidP="0032373B">
      <w:pPr>
        <w:jc w:val="both"/>
        <w:rPr>
          <w:szCs w:val="20"/>
        </w:rPr>
      </w:pPr>
      <w:r w:rsidRPr="00532784">
        <w:rPr>
          <w:szCs w:val="20"/>
        </w:rPr>
        <w:t>Après 85 ans, l’orientation des flux migratoires se dirig</w:t>
      </w:r>
      <w:r w:rsidR="00D94346">
        <w:rPr>
          <w:szCs w:val="20"/>
        </w:rPr>
        <w:t>e</w:t>
      </w:r>
      <w:r w:rsidRPr="00532784">
        <w:rPr>
          <w:szCs w:val="20"/>
        </w:rPr>
        <w:t xml:space="preserve"> davantage vers des départements ruraux ou en périphérie urbaine ayant une capacité d’accueil en EHPAD très élevée.</w:t>
      </w:r>
    </w:p>
    <w:p w14:paraId="2DBA6710" w14:textId="77777777" w:rsidR="00C02309" w:rsidRPr="00E417C8" w:rsidRDefault="00C02309" w:rsidP="00BC5CCA">
      <w:pPr>
        <w:jc w:val="both"/>
        <w:rPr>
          <w:sz w:val="22"/>
        </w:rPr>
      </w:pPr>
    </w:p>
    <w:p w14:paraId="5F25CD52" w14:textId="3ECB19F3" w:rsidR="003351DD" w:rsidRDefault="00AB37FA" w:rsidP="00AB37FA">
      <w:pPr>
        <w:rPr>
          <w:b/>
          <w:bCs/>
        </w:rPr>
      </w:pPr>
      <w:r w:rsidRPr="004552A0">
        <w:rPr>
          <w:rFonts w:ascii="Arial" w:hAnsi="Arial" w:cs="Arial"/>
          <w:b/>
          <w:bCs/>
          <w:spacing w:val="-6"/>
          <w:szCs w:val="20"/>
        </w:rPr>
        <w:t>La publication « </w:t>
      </w:r>
      <w:r w:rsidR="00345D37" w:rsidRPr="004552A0">
        <w:rPr>
          <w:rFonts w:ascii="Arial" w:hAnsi="Arial" w:cs="Arial"/>
          <w:b/>
          <w:bCs/>
          <w:spacing w:val="-6"/>
          <w:szCs w:val="20"/>
        </w:rPr>
        <w:t>Questions politiques sociales – Les études</w:t>
      </w:r>
      <w:r w:rsidRPr="004552A0">
        <w:rPr>
          <w:rFonts w:ascii="Arial" w:hAnsi="Arial" w:cs="Arial"/>
          <w:b/>
          <w:bCs/>
          <w:spacing w:val="-6"/>
          <w:szCs w:val="20"/>
        </w:rPr>
        <w:t> 3</w:t>
      </w:r>
      <w:r w:rsidR="001D49B5">
        <w:rPr>
          <w:rFonts w:ascii="Arial" w:hAnsi="Arial" w:cs="Arial"/>
          <w:b/>
          <w:bCs/>
          <w:spacing w:val="-6"/>
          <w:szCs w:val="20"/>
        </w:rPr>
        <w:t>8</w:t>
      </w:r>
      <w:r w:rsidR="00A0417E" w:rsidRPr="004552A0">
        <w:rPr>
          <w:rFonts w:ascii="Arial" w:hAnsi="Arial" w:cs="Arial"/>
          <w:b/>
          <w:bCs/>
          <w:spacing w:val="-6"/>
          <w:szCs w:val="20"/>
        </w:rPr>
        <w:t> »</w:t>
      </w:r>
      <w:r w:rsidRPr="004552A0">
        <w:rPr>
          <w:rFonts w:ascii="Arial" w:hAnsi="Arial" w:cs="Arial"/>
          <w:b/>
          <w:bCs/>
          <w:spacing w:val="-6"/>
          <w:szCs w:val="20"/>
        </w:rPr>
        <w:t xml:space="preserve"> est disponible en cliquant sur </w:t>
      </w:r>
      <w:hyperlink r:id="rId9" w:history="1">
        <w:r w:rsidR="003F5194" w:rsidRPr="00593B0C">
          <w:rPr>
            <w:rStyle w:val="Lienhypertexte"/>
            <w:b/>
            <w:bCs/>
          </w:rPr>
          <w:t>https://politiques-sociales.caissedesdepots.fr/qps-les-etudes-ndeg38</w:t>
        </w:r>
      </w:hyperlink>
      <w:r w:rsidR="00C44033">
        <w:rPr>
          <w:rStyle w:val="Lienhypertexte"/>
          <w:b/>
          <w:bCs/>
        </w:rPr>
        <w:t xml:space="preserve"> </w:t>
      </w:r>
    </w:p>
    <w:p w14:paraId="350AD4BA" w14:textId="7B8FAB0C" w:rsidR="00F0309D" w:rsidRDefault="00F0309D" w:rsidP="00AB37FA">
      <w:pPr>
        <w:rPr>
          <w:b/>
          <w:bCs/>
        </w:rPr>
      </w:pPr>
    </w:p>
    <w:p w14:paraId="4D7A722D" w14:textId="77777777" w:rsidR="00F0309D" w:rsidRPr="004552A0" w:rsidRDefault="00F0309D" w:rsidP="00F0309D">
      <w:pPr>
        <w:pBdr>
          <w:top w:val="single" w:sz="4" w:space="1" w:color="auto"/>
          <w:left w:val="single" w:sz="4" w:space="4" w:color="auto"/>
          <w:bottom w:val="single" w:sz="4" w:space="0" w:color="auto"/>
          <w:right w:val="single" w:sz="4" w:space="4" w:color="auto"/>
        </w:pBdr>
        <w:spacing w:after="120" w:line="276" w:lineRule="auto"/>
        <w:jc w:val="both"/>
        <w:rPr>
          <w:rFonts w:ascii="Arial" w:hAnsi="Arial" w:cs="Arial"/>
          <w:b/>
          <w:bCs/>
          <w:i/>
          <w:spacing w:val="-4"/>
          <w:sz w:val="18"/>
          <w:szCs w:val="18"/>
        </w:rPr>
      </w:pPr>
      <w:r w:rsidRPr="004552A0">
        <w:rPr>
          <w:spacing w:val="-2"/>
          <w:sz w:val="18"/>
          <w:szCs w:val="18"/>
        </w:rPr>
        <w:t xml:space="preserve">La gamme des publications </w:t>
      </w:r>
      <w:r w:rsidRPr="004552A0">
        <w:rPr>
          <w:i/>
          <w:iCs/>
          <w:spacing w:val="-2"/>
          <w:sz w:val="18"/>
          <w:szCs w:val="18"/>
        </w:rPr>
        <w:t>Questions politiques sociales</w:t>
      </w:r>
      <w:r w:rsidRPr="004552A0">
        <w:rPr>
          <w:spacing w:val="-2"/>
          <w:sz w:val="18"/>
          <w:szCs w:val="18"/>
        </w:rPr>
        <w:t xml:space="preserve"> (QPS) se décline en trois produits distincts : QPS Les études</w:t>
      </w:r>
      <w:r>
        <w:rPr>
          <w:spacing w:val="-2"/>
          <w:sz w:val="18"/>
          <w:szCs w:val="18"/>
        </w:rPr>
        <w:t>,</w:t>
      </w:r>
      <w:r w:rsidRPr="004552A0">
        <w:rPr>
          <w:spacing w:val="-2"/>
          <w:sz w:val="18"/>
          <w:szCs w:val="18"/>
        </w:rPr>
        <w:t xml:space="preserve"> QPS Les brèves et QPS Les cahiers.</w:t>
      </w:r>
    </w:p>
    <w:p w14:paraId="6D7B14D7" w14:textId="70BD03A0" w:rsidR="00F0309D" w:rsidRPr="006301DF" w:rsidRDefault="00F0309D" w:rsidP="00F0309D">
      <w:pPr>
        <w:pBdr>
          <w:top w:val="single" w:sz="4" w:space="1" w:color="auto"/>
          <w:left w:val="single" w:sz="4" w:space="4" w:color="auto"/>
          <w:bottom w:val="single" w:sz="4" w:space="0" w:color="auto"/>
          <w:right w:val="single" w:sz="4" w:space="4" w:color="auto"/>
        </w:pBdr>
        <w:spacing w:after="120" w:line="276" w:lineRule="auto"/>
        <w:jc w:val="both"/>
        <w:rPr>
          <w:rFonts w:ascii="Arial" w:hAnsi="Arial" w:cs="Arial"/>
          <w:spacing w:val="-4"/>
          <w:sz w:val="18"/>
          <w:szCs w:val="18"/>
        </w:rPr>
      </w:pPr>
      <w:r w:rsidRPr="002D6452">
        <w:rPr>
          <w:rFonts w:ascii="Arial" w:hAnsi="Arial" w:cs="Arial"/>
          <w:i/>
          <w:iCs/>
          <w:spacing w:val="-4"/>
          <w:sz w:val="18"/>
          <w:szCs w:val="18"/>
        </w:rPr>
        <w:t>QPS – Les études</w:t>
      </w:r>
      <w:r w:rsidRPr="006301DF">
        <w:rPr>
          <w:rFonts w:ascii="Arial" w:hAnsi="Arial" w:cs="Arial"/>
          <w:spacing w:val="-4"/>
          <w:sz w:val="18"/>
          <w:szCs w:val="18"/>
        </w:rPr>
        <w:t xml:space="preserve"> est une publication de la direction des politiques sociales de la Caisse des Dépôts. Elle a vocation à faire connaître les résultats des travaux</w:t>
      </w:r>
      <w:r>
        <w:rPr>
          <w:rFonts w:ascii="Arial" w:hAnsi="Arial" w:cs="Arial"/>
          <w:spacing w:val="-4"/>
          <w:sz w:val="18"/>
          <w:szCs w:val="18"/>
        </w:rPr>
        <w:t xml:space="preserve"> </w:t>
      </w:r>
      <w:r w:rsidRPr="006301DF">
        <w:rPr>
          <w:rFonts w:ascii="Arial" w:hAnsi="Arial" w:cs="Arial"/>
          <w:spacing w:val="-4"/>
          <w:sz w:val="18"/>
          <w:szCs w:val="18"/>
        </w:rPr>
        <w:t xml:space="preserve">d’études dans </w:t>
      </w:r>
      <w:r w:rsidR="002161C3" w:rsidRPr="002161C3">
        <w:rPr>
          <w:rFonts w:ascii="Arial" w:hAnsi="Arial" w:cs="Arial"/>
          <w:spacing w:val="-4"/>
          <w:sz w:val="18"/>
          <w:szCs w:val="18"/>
        </w:rPr>
        <w:t>l’ensemble des domaines de la protection sociale (retraite, vieillissement, handicap…) et de la formation professionnelle</w:t>
      </w:r>
      <w:r w:rsidRPr="006301DF">
        <w:rPr>
          <w:rFonts w:ascii="Arial" w:hAnsi="Arial" w:cs="Arial"/>
          <w:spacing w:val="-4"/>
          <w:sz w:val="18"/>
          <w:szCs w:val="18"/>
        </w:rPr>
        <w:t xml:space="preserve">. Elle est complétée par </w:t>
      </w:r>
      <w:r w:rsidRPr="002D6452">
        <w:rPr>
          <w:rFonts w:ascii="Arial" w:hAnsi="Arial" w:cs="Arial"/>
          <w:i/>
          <w:iCs/>
          <w:spacing w:val="-4"/>
          <w:sz w:val="18"/>
          <w:szCs w:val="18"/>
        </w:rPr>
        <w:t>QPS - Les cahiers</w:t>
      </w:r>
      <w:r w:rsidRPr="006301DF">
        <w:rPr>
          <w:rFonts w:ascii="Arial" w:hAnsi="Arial" w:cs="Arial"/>
          <w:spacing w:val="-4"/>
          <w:sz w:val="18"/>
          <w:szCs w:val="18"/>
        </w:rPr>
        <w:t xml:space="preserve"> qui est une série de</w:t>
      </w:r>
      <w:r>
        <w:rPr>
          <w:rFonts w:ascii="Arial" w:hAnsi="Arial" w:cs="Arial"/>
          <w:spacing w:val="-4"/>
          <w:sz w:val="18"/>
          <w:szCs w:val="18"/>
        </w:rPr>
        <w:t xml:space="preserve"> </w:t>
      </w:r>
      <w:r w:rsidRPr="006301DF">
        <w:rPr>
          <w:rFonts w:ascii="Arial" w:hAnsi="Arial" w:cs="Arial"/>
          <w:spacing w:val="-4"/>
          <w:sz w:val="18"/>
          <w:szCs w:val="18"/>
        </w:rPr>
        <w:t xml:space="preserve">documents de travail diffusant des études approfondies et </w:t>
      </w:r>
      <w:r w:rsidRPr="002D6452">
        <w:rPr>
          <w:rFonts w:ascii="Arial" w:hAnsi="Arial" w:cs="Arial"/>
          <w:i/>
          <w:iCs/>
          <w:spacing w:val="-4"/>
          <w:sz w:val="18"/>
          <w:szCs w:val="18"/>
        </w:rPr>
        <w:t>QPS – Les brèves</w:t>
      </w:r>
      <w:r w:rsidRPr="006301DF">
        <w:rPr>
          <w:rFonts w:ascii="Arial" w:hAnsi="Arial" w:cs="Arial"/>
          <w:spacing w:val="-4"/>
          <w:sz w:val="18"/>
          <w:szCs w:val="18"/>
        </w:rPr>
        <w:t xml:space="preserve"> qui propose des éclairages statistiques. L’ensemble des numéros est disponible sur le site</w:t>
      </w:r>
      <w:r>
        <w:rPr>
          <w:rFonts w:ascii="Arial" w:hAnsi="Arial" w:cs="Arial"/>
          <w:spacing w:val="-4"/>
          <w:sz w:val="18"/>
          <w:szCs w:val="18"/>
        </w:rPr>
        <w:t xml:space="preserve"> </w:t>
      </w:r>
      <w:hyperlink r:id="rId10" w:history="1">
        <w:r w:rsidRPr="00AD1AC2">
          <w:rPr>
            <w:rStyle w:val="Lienhypertexte"/>
            <w:rFonts w:ascii="Arial" w:hAnsi="Arial" w:cs="Arial"/>
            <w:spacing w:val="-4"/>
            <w:sz w:val="18"/>
            <w:szCs w:val="18"/>
          </w:rPr>
          <w:t>https://politiques-sociales.caissedesdepots.fr/</w:t>
        </w:r>
      </w:hyperlink>
      <w:r>
        <w:rPr>
          <w:rFonts w:ascii="Arial" w:hAnsi="Arial" w:cs="Arial"/>
          <w:spacing w:val="-4"/>
          <w:sz w:val="18"/>
          <w:szCs w:val="18"/>
        </w:rPr>
        <w:t xml:space="preserve"> </w:t>
      </w:r>
      <w:r w:rsidRPr="006301DF">
        <w:rPr>
          <w:rFonts w:ascii="Arial" w:hAnsi="Arial" w:cs="Arial"/>
          <w:spacing w:val="-4"/>
          <w:sz w:val="18"/>
          <w:szCs w:val="18"/>
        </w:rPr>
        <w:t>à la rubrique Publications et statistiques.</w:t>
      </w:r>
    </w:p>
    <w:p w14:paraId="25DB7CE9" w14:textId="77777777" w:rsidR="00F0309D" w:rsidRPr="004552A0" w:rsidRDefault="00F0309D" w:rsidP="00F0309D">
      <w:pPr>
        <w:pBdr>
          <w:top w:val="single" w:sz="4" w:space="1" w:color="auto"/>
          <w:left w:val="single" w:sz="4" w:space="4" w:color="auto"/>
          <w:bottom w:val="single" w:sz="4" w:space="0" w:color="auto"/>
          <w:right w:val="single" w:sz="4" w:space="4" w:color="auto"/>
        </w:pBdr>
        <w:spacing w:after="120" w:line="276" w:lineRule="auto"/>
        <w:jc w:val="both"/>
        <w:rPr>
          <w:rFonts w:ascii="Arial" w:hAnsi="Arial" w:cs="Arial"/>
          <w:spacing w:val="-4"/>
          <w:sz w:val="18"/>
          <w:szCs w:val="18"/>
        </w:rPr>
      </w:pPr>
      <w:r w:rsidRPr="004552A0">
        <w:rPr>
          <w:rFonts w:ascii="Arial" w:hAnsi="Arial" w:cs="Arial"/>
          <w:spacing w:val="-4"/>
          <w:sz w:val="18"/>
          <w:szCs w:val="18"/>
        </w:rPr>
        <w:t xml:space="preserve">La direction des politiques sociales (DPS) concourt à la cohésion sociale et à la réduction de la fracture territoriale. Elle intervient principalement dans quatre domaines, historiques ou plus récents : la retraite, la formation professionnelle, le handicap, </w:t>
      </w:r>
      <w:r>
        <w:rPr>
          <w:rFonts w:ascii="Arial" w:hAnsi="Arial" w:cs="Arial"/>
          <w:spacing w:val="-4"/>
          <w:sz w:val="18"/>
          <w:szCs w:val="18"/>
        </w:rPr>
        <w:t xml:space="preserve">ainsi que </w:t>
      </w:r>
      <w:r w:rsidRPr="004552A0">
        <w:rPr>
          <w:rFonts w:ascii="Arial" w:hAnsi="Arial" w:cs="Arial"/>
          <w:spacing w:val="-4"/>
          <w:sz w:val="18"/>
          <w:szCs w:val="18"/>
        </w:rPr>
        <w:t>le grand âge et la santé. Au service de plus de 70 fonds et partenaire privilégié de 63</w:t>
      </w:r>
      <w:r>
        <w:rPr>
          <w:rFonts w:ascii="Arial" w:hAnsi="Arial" w:cs="Arial"/>
          <w:spacing w:val="-4"/>
          <w:sz w:val="18"/>
          <w:szCs w:val="18"/>
        </w:rPr>
        <w:t> </w:t>
      </w:r>
      <w:r w:rsidRPr="004552A0">
        <w:rPr>
          <w:rFonts w:ascii="Arial" w:hAnsi="Arial" w:cs="Arial"/>
          <w:spacing w:val="-4"/>
          <w:sz w:val="18"/>
          <w:szCs w:val="18"/>
        </w:rPr>
        <w:t>000 employeurs publics, la DPS apporte des solutions fiables et innovantes à ses clients et aux pouvoirs publics.</w:t>
      </w:r>
    </w:p>
    <w:p w14:paraId="7053B369" w14:textId="77777777" w:rsidR="00F0309D" w:rsidRDefault="00F0309D" w:rsidP="00F0309D">
      <w:pPr>
        <w:pStyle w:val="CdDFilet"/>
      </w:pPr>
    </w:p>
    <w:p w14:paraId="5616A8E5" w14:textId="77777777" w:rsidR="00F0309D" w:rsidRPr="00FB5D34" w:rsidRDefault="00F0309D" w:rsidP="00F0309D">
      <w:pPr>
        <w:pStyle w:val="CdDpropos"/>
        <w:spacing w:after="40"/>
        <w:ind w:left="-11"/>
      </w:pPr>
      <w:r w:rsidRPr="00FB5D34">
        <w:t xml:space="preserve">À propos du groupe Caisse </w:t>
      </w:r>
      <w:r w:rsidRPr="00357794">
        <w:t>des</w:t>
      </w:r>
      <w:r w:rsidRPr="00FB5D34">
        <w:t xml:space="preserve"> Dépôts</w:t>
      </w:r>
    </w:p>
    <w:p w14:paraId="3E5A4CCE" w14:textId="77777777" w:rsidR="00F0309D" w:rsidRPr="00FB5D34" w:rsidRDefault="00F0309D" w:rsidP="00F0309D">
      <w:pPr>
        <w:pStyle w:val="CdDproposTexte"/>
        <w:ind w:left="-14"/>
        <w:jc w:val="both"/>
      </w:pPr>
      <w:r w:rsidRPr="00FB5D34">
        <w:t>La Caisse des Dépôts et ses filiales constituent un groupe public, investisseur de long</w:t>
      </w:r>
      <w:r>
        <w:t xml:space="preserve"> terme au </w:t>
      </w:r>
      <w:r w:rsidRPr="00FB5D34">
        <w:t>service de l’intérêt général et du développement économique des territoires.</w:t>
      </w:r>
    </w:p>
    <w:p w14:paraId="29415F17" w14:textId="77777777" w:rsidR="00F0309D" w:rsidRDefault="00F0309D" w:rsidP="00F0309D">
      <w:pPr>
        <w:pStyle w:val="CdDproposTexte"/>
        <w:spacing w:after="120"/>
        <w:ind w:left="-11"/>
        <w:jc w:val="both"/>
      </w:pPr>
      <w:r w:rsidRPr="00FB5D34">
        <w:t xml:space="preserve">Elle regroupe cinq domaines d’expertise : </w:t>
      </w:r>
      <w:r>
        <w:t>les politiques sociales (retraite, formation professionnelle, handicap, grand âge et santé),</w:t>
      </w:r>
      <w:r w:rsidRPr="00FB5D34">
        <w:t xml:space="preserve"> les gestions</w:t>
      </w:r>
      <w:r>
        <w:t xml:space="preserve"> </w:t>
      </w:r>
      <w:r w:rsidRPr="00FB5D34">
        <w:t>d’actifs, le suivi des filiales et des participations, le financement des entreprises (avec Bpifrance) et la Banque des Territoires.</w:t>
      </w:r>
    </w:p>
    <w:p w14:paraId="4BE9D08B" w14:textId="77777777" w:rsidR="00F0309D" w:rsidRDefault="00F0309D" w:rsidP="00F0309D">
      <w:pPr>
        <w:pStyle w:val="CdDproposTexte"/>
        <w:spacing w:after="120"/>
        <w:ind w:left="-11"/>
        <w:jc w:val="both"/>
      </w:pPr>
    </w:p>
    <w:p w14:paraId="63F24082" w14:textId="77777777" w:rsidR="00F0309D" w:rsidRPr="009546BE" w:rsidRDefault="00F0309D" w:rsidP="00F0309D">
      <w:pPr>
        <w:pStyle w:val="CdDContactpresse"/>
        <w:spacing w:after="40"/>
        <w:ind w:left="-11"/>
        <w:rPr>
          <w:sz w:val="18"/>
          <w:szCs w:val="18"/>
        </w:rPr>
      </w:pPr>
      <w:r w:rsidRPr="009546BE">
        <w:rPr>
          <w:sz w:val="18"/>
          <w:szCs w:val="18"/>
        </w:rPr>
        <w:t>Contact presse</w:t>
      </w:r>
    </w:p>
    <w:p w14:paraId="5FA19729" w14:textId="77777777" w:rsidR="00F0309D" w:rsidRPr="009546BE" w:rsidRDefault="00F0309D" w:rsidP="00F0309D">
      <w:pPr>
        <w:keepNext/>
        <w:ind w:left="-14"/>
        <w:rPr>
          <w:b/>
          <w:sz w:val="18"/>
          <w:szCs w:val="18"/>
        </w:rPr>
      </w:pPr>
      <w:r w:rsidRPr="009546BE">
        <w:rPr>
          <w:b/>
          <w:sz w:val="18"/>
          <w:szCs w:val="18"/>
        </w:rPr>
        <w:t>Caisse des Dépôts</w:t>
      </w:r>
    </w:p>
    <w:p w14:paraId="5322B929" w14:textId="083A3F4F" w:rsidR="00F0309D" w:rsidRPr="00463885" w:rsidRDefault="00AA07AC" w:rsidP="00F0309D">
      <w:pPr>
        <w:keepNext/>
        <w:rPr>
          <w:rStyle w:val="Lienhypertexte"/>
          <w:color w:val="F01E1E" w:themeColor="text2"/>
        </w:rPr>
      </w:pPr>
      <w:r>
        <w:rPr>
          <w:rFonts w:ascii="Arial" w:eastAsia="Arial" w:hAnsi="Arial"/>
          <w:sz w:val="18"/>
          <w:szCs w:val="18"/>
        </w:rPr>
        <w:t>Marie-Caroline Cardi</w:t>
      </w:r>
      <w:r w:rsidR="00F0309D">
        <w:rPr>
          <w:rFonts w:ascii="Arial" w:eastAsia="Arial" w:hAnsi="Arial"/>
          <w:sz w:val="18"/>
          <w:szCs w:val="18"/>
        </w:rPr>
        <w:t xml:space="preserve"> : 06 </w:t>
      </w:r>
      <w:r>
        <w:rPr>
          <w:rFonts w:ascii="Arial" w:eastAsia="Arial" w:hAnsi="Arial"/>
          <w:sz w:val="18"/>
          <w:szCs w:val="18"/>
        </w:rPr>
        <w:t>38 53 97 67</w:t>
      </w:r>
      <w:r w:rsidR="00F0309D" w:rsidRPr="00EA0938">
        <w:rPr>
          <w:rFonts w:ascii="Arial" w:eastAsia="Arial" w:hAnsi="Arial"/>
          <w:sz w:val="18"/>
          <w:szCs w:val="18"/>
        </w:rPr>
        <w:t xml:space="preserve"> – </w:t>
      </w:r>
      <w:hyperlink r:id="rId11" w:history="1">
        <w:r w:rsidRPr="00532784">
          <w:rPr>
            <w:rStyle w:val="Lienhypertexte"/>
            <w:rFonts w:ascii="Arial" w:hAnsi="Arial" w:cs="Arial"/>
            <w:sz w:val="18"/>
            <w:szCs w:val="18"/>
          </w:rPr>
          <w:t>marie-caroline.cardi@caissedesdepots.fr</w:t>
        </w:r>
      </w:hyperlink>
      <w:r>
        <w:rPr>
          <w:rStyle w:val="Lienhypertexte"/>
          <w:color w:val="F01E1E" w:themeColor="text2"/>
        </w:rPr>
        <w:t xml:space="preserve"> </w:t>
      </w:r>
    </w:p>
    <w:p w14:paraId="7626329B" w14:textId="77777777" w:rsidR="00F0309D" w:rsidRPr="009546BE" w:rsidRDefault="00F0309D" w:rsidP="00F0309D">
      <w:pPr>
        <w:keepNext/>
        <w:ind w:left="-14"/>
        <w:rPr>
          <w:sz w:val="18"/>
          <w:szCs w:val="18"/>
        </w:rPr>
      </w:pPr>
    </w:p>
    <w:p w14:paraId="327066E9" w14:textId="77777777" w:rsidR="00F0309D" w:rsidRPr="00631426" w:rsidRDefault="00F0309D" w:rsidP="00F0309D">
      <w:pPr>
        <w:spacing w:before="40"/>
        <w:ind w:left="-14"/>
        <w:rPr>
          <w:color w:val="F01E1E" w:themeColor="text2"/>
          <w:sz w:val="18"/>
          <w:szCs w:val="18"/>
        </w:rPr>
      </w:pPr>
      <w:r w:rsidRPr="009546BE">
        <w:rPr>
          <w:noProof/>
          <w:color w:val="F01E1E" w:themeColor="text2"/>
          <w:sz w:val="18"/>
          <w:szCs w:val="18"/>
          <w:lang w:eastAsia="fr-FR"/>
        </w:rPr>
        <w:drawing>
          <wp:inline distT="0" distB="0" distL="0" distR="0" wp14:anchorId="1D28C333" wp14:editId="3FD54B1A">
            <wp:extent cx="144000" cy="117074"/>
            <wp:effectExtent l="0" t="0" r="889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dD-Twitter.png"/>
                    <pic:cNvPicPr/>
                  </pic:nvPicPr>
                  <pic:blipFill>
                    <a:blip r:embed="rId12">
                      <a:extLst>
                        <a:ext uri="{28A0092B-C50C-407E-A947-70E740481C1C}">
                          <a14:useLocalDpi xmlns:a14="http://schemas.microsoft.com/office/drawing/2010/main" val="0"/>
                        </a:ext>
                      </a:extLst>
                    </a:blip>
                    <a:stretch>
                      <a:fillRect/>
                    </a:stretch>
                  </pic:blipFill>
                  <pic:spPr>
                    <a:xfrm>
                      <a:off x="0" y="0"/>
                      <a:ext cx="144000" cy="117074"/>
                    </a:xfrm>
                    <a:prstGeom prst="rect">
                      <a:avLst/>
                    </a:prstGeom>
                  </pic:spPr>
                </pic:pic>
              </a:graphicData>
            </a:graphic>
          </wp:inline>
        </w:drawing>
      </w:r>
      <w:r w:rsidRPr="009546BE">
        <w:rPr>
          <w:color w:val="F01E1E" w:themeColor="text2"/>
          <w:sz w:val="18"/>
          <w:szCs w:val="18"/>
        </w:rPr>
        <w:t xml:space="preserve"> </w:t>
      </w:r>
      <w:r w:rsidRPr="009546BE">
        <w:rPr>
          <w:rFonts w:cstheme="minorHAnsi"/>
          <w:color w:val="F01E1E" w:themeColor="text2"/>
          <w:sz w:val="18"/>
          <w:szCs w:val="18"/>
        </w:rPr>
        <w:sym w:font="Symbol" w:char="F0BD"/>
      </w:r>
      <w:r w:rsidRPr="009546BE">
        <w:rPr>
          <w:color w:val="F01E1E" w:themeColor="text2"/>
          <w:sz w:val="18"/>
          <w:szCs w:val="18"/>
        </w:rPr>
        <w:t xml:space="preserve"> </w:t>
      </w:r>
      <w:r w:rsidRPr="009546BE">
        <w:rPr>
          <w:noProof/>
          <w:color w:val="F01E1E" w:themeColor="text2"/>
          <w:sz w:val="18"/>
          <w:szCs w:val="18"/>
          <w:lang w:eastAsia="fr-FR"/>
        </w:rPr>
        <w:drawing>
          <wp:inline distT="0" distB="0" distL="0" distR="0" wp14:anchorId="74AEFA89" wp14:editId="77CE4EA8">
            <wp:extent cx="132197" cy="126000"/>
            <wp:effectExtent l="0" t="0" r="1270" b="762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dD-LinkedIn.png"/>
                    <pic:cNvPicPr/>
                  </pic:nvPicPr>
                  <pic:blipFill>
                    <a:blip r:embed="rId13">
                      <a:extLst>
                        <a:ext uri="{28A0092B-C50C-407E-A947-70E740481C1C}">
                          <a14:useLocalDpi xmlns:a14="http://schemas.microsoft.com/office/drawing/2010/main" val="0"/>
                        </a:ext>
                      </a:extLst>
                    </a:blip>
                    <a:stretch>
                      <a:fillRect/>
                    </a:stretch>
                  </pic:blipFill>
                  <pic:spPr>
                    <a:xfrm>
                      <a:off x="0" y="0"/>
                      <a:ext cx="132197" cy="126000"/>
                    </a:xfrm>
                    <a:prstGeom prst="rect">
                      <a:avLst/>
                    </a:prstGeom>
                  </pic:spPr>
                </pic:pic>
              </a:graphicData>
            </a:graphic>
          </wp:inline>
        </w:drawing>
      </w:r>
      <w:r w:rsidRPr="009546BE">
        <w:rPr>
          <w:color w:val="F01E1E" w:themeColor="text2"/>
          <w:sz w:val="18"/>
          <w:szCs w:val="18"/>
        </w:rPr>
        <w:t xml:space="preserve"> </w:t>
      </w:r>
      <w:r w:rsidRPr="009546BE">
        <w:rPr>
          <w:rFonts w:cstheme="minorHAnsi"/>
          <w:color w:val="F01E1E" w:themeColor="text2"/>
          <w:sz w:val="18"/>
          <w:szCs w:val="18"/>
        </w:rPr>
        <w:sym w:font="Symbol" w:char="F0BD"/>
      </w:r>
      <w:r w:rsidRPr="009546BE">
        <w:rPr>
          <w:color w:val="F01E1E" w:themeColor="text2"/>
          <w:sz w:val="18"/>
          <w:szCs w:val="18"/>
        </w:rPr>
        <w:t xml:space="preserve"> </w:t>
      </w:r>
      <w:r w:rsidRPr="009546BE">
        <w:rPr>
          <w:noProof/>
          <w:color w:val="F01E1E" w:themeColor="text2"/>
          <w:sz w:val="18"/>
          <w:szCs w:val="18"/>
          <w:lang w:eastAsia="fr-FR"/>
        </w:rPr>
        <w:drawing>
          <wp:inline distT="0" distB="0" distL="0" distR="0" wp14:anchorId="40AC6AA8" wp14:editId="318490F7">
            <wp:extent cx="64910" cy="126000"/>
            <wp:effectExtent l="0" t="0" r="0" b="762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dD-Facebook.png"/>
                    <pic:cNvPicPr/>
                  </pic:nvPicPr>
                  <pic:blipFill>
                    <a:blip r:embed="rId14">
                      <a:extLst>
                        <a:ext uri="{28A0092B-C50C-407E-A947-70E740481C1C}">
                          <a14:useLocalDpi xmlns:a14="http://schemas.microsoft.com/office/drawing/2010/main" val="0"/>
                        </a:ext>
                      </a:extLst>
                    </a:blip>
                    <a:stretch>
                      <a:fillRect/>
                    </a:stretch>
                  </pic:blipFill>
                  <pic:spPr>
                    <a:xfrm>
                      <a:off x="0" y="0"/>
                      <a:ext cx="64910" cy="126000"/>
                    </a:xfrm>
                    <a:prstGeom prst="rect">
                      <a:avLst/>
                    </a:prstGeom>
                  </pic:spPr>
                </pic:pic>
              </a:graphicData>
            </a:graphic>
          </wp:inline>
        </w:drawing>
      </w:r>
      <w:r w:rsidRPr="009546BE">
        <w:rPr>
          <w:color w:val="F01E1E" w:themeColor="text2"/>
          <w:sz w:val="18"/>
          <w:szCs w:val="18"/>
        </w:rPr>
        <w:t xml:space="preserve"> </w:t>
      </w:r>
      <w:r w:rsidRPr="009546BE">
        <w:rPr>
          <w:rFonts w:cstheme="minorHAnsi"/>
          <w:color w:val="F01E1E" w:themeColor="text2"/>
          <w:sz w:val="18"/>
          <w:szCs w:val="18"/>
        </w:rPr>
        <w:sym w:font="Symbol" w:char="F0BD"/>
      </w:r>
      <w:r w:rsidRPr="009546BE">
        <w:rPr>
          <w:color w:val="F01E1E" w:themeColor="text2"/>
          <w:sz w:val="18"/>
          <w:szCs w:val="18"/>
        </w:rPr>
        <w:t xml:space="preserve"> </w:t>
      </w:r>
      <w:r w:rsidRPr="009546BE">
        <w:rPr>
          <w:noProof/>
          <w:color w:val="F01E1E" w:themeColor="text2"/>
          <w:sz w:val="18"/>
          <w:szCs w:val="18"/>
          <w:lang w:eastAsia="fr-FR"/>
        </w:rPr>
        <w:drawing>
          <wp:inline distT="0" distB="0" distL="0" distR="0" wp14:anchorId="45BA16B7" wp14:editId="0F065329">
            <wp:extent cx="180000" cy="123615"/>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dD-Youtube.png"/>
                    <pic:cNvPicPr/>
                  </pic:nvPicPr>
                  <pic:blipFill>
                    <a:blip r:embed="rId15">
                      <a:extLst>
                        <a:ext uri="{28A0092B-C50C-407E-A947-70E740481C1C}">
                          <a14:useLocalDpi xmlns:a14="http://schemas.microsoft.com/office/drawing/2010/main" val="0"/>
                        </a:ext>
                      </a:extLst>
                    </a:blip>
                    <a:stretch>
                      <a:fillRect/>
                    </a:stretch>
                  </pic:blipFill>
                  <pic:spPr>
                    <a:xfrm>
                      <a:off x="0" y="0"/>
                      <a:ext cx="180000" cy="123615"/>
                    </a:xfrm>
                    <a:prstGeom prst="rect">
                      <a:avLst/>
                    </a:prstGeom>
                  </pic:spPr>
                </pic:pic>
              </a:graphicData>
            </a:graphic>
          </wp:inline>
        </w:drawing>
      </w:r>
      <w:r w:rsidRPr="009546BE">
        <w:rPr>
          <w:color w:val="F01E1E" w:themeColor="text2"/>
          <w:sz w:val="18"/>
          <w:szCs w:val="18"/>
        </w:rPr>
        <w:t xml:space="preserve">  </w:t>
      </w:r>
      <w:hyperlink r:id="rId16" w:history="1">
        <w:r w:rsidRPr="009546BE">
          <w:rPr>
            <w:rStyle w:val="Lienhypertexte"/>
            <w:color w:val="F01E1E" w:themeColor="text2"/>
            <w:sz w:val="18"/>
            <w:szCs w:val="18"/>
          </w:rPr>
          <w:t>caissedesdepots.fr</w:t>
        </w:r>
      </w:hyperlink>
    </w:p>
    <w:p w14:paraId="486ED673" w14:textId="17725689" w:rsidR="001D52A7" w:rsidRPr="00F0309D" w:rsidRDefault="001D52A7" w:rsidP="00F0309D">
      <w:pPr>
        <w:rPr>
          <w:b/>
          <w:bCs/>
        </w:rPr>
      </w:pPr>
    </w:p>
    <w:bookmarkEnd w:id="2"/>
    <w:sectPr w:rsidR="001D52A7" w:rsidRPr="00F0309D" w:rsidSect="00F31EA0">
      <w:headerReference w:type="even" r:id="rId17"/>
      <w:headerReference w:type="default" r:id="rId18"/>
      <w:footerReference w:type="even" r:id="rId19"/>
      <w:footerReference w:type="default" r:id="rId20"/>
      <w:headerReference w:type="first" r:id="rId21"/>
      <w:footerReference w:type="first" r:id="rId22"/>
      <w:pgSz w:w="11906" w:h="16838" w:code="9"/>
      <w:pgMar w:top="1985" w:right="1134" w:bottom="1418" w:left="1890" w:header="567"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E7C46" w14:textId="77777777" w:rsidR="000A0246" w:rsidRDefault="000A0246" w:rsidP="008D517A">
      <w:pPr>
        <w:spacing w:line="240" w:lineRule="auto"/>
      </w:pPr>
      <w:r>
        <w:separator/>
      </w:r>
    </w:p>
  </w:endnote>
  <w:endnote w:type="continuationSeparator" w:id="0">
    <w:p w14:paraId="0654B800" w14:textId="77777777" w:rsidR="000A0246" w:rsidRDefault="000A0246" w:rsidP="008D517A">
      <w:pPr>
        <w:spacing w:line="240" w:lineRule="auto"/>
      </w:pPr>
      <w:r>
        <w:continuationSeparator/>
      </w:r>
    </w:p>
  </w:endnote>
  <w:endnote w:type="continuationNotice" w:id="1">
    <w:p w14:paraId="1F7C440B" w14:textId="77777777" w:rsidR="000A0246" w:rsidRDefault="000A024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CBC65" w14:textId="77777777" w:rsidR="00C819F2" w:rsidRDefault="00C819F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272F" w14:textId="72419D9A" w:rsidR="00F76160" w:rsidRPr="00E77A7E" w:rsidRDefault="00F76160" w:rsidP="00F31EA0">
    <w:pPr>
      <w:pStyle w:val="Pieddepage"/>
      <w:rPr>
        <w:b/>
      </w:rPr>
    </w:pPr>
    <w:r w:rsidRPr="00E77A7E">
      <w:rPr>
        <w:rStyle w:val="Numrodepage"/>
        <w:b/>
      </w:rPr>
      <w:fldChar w:fldCharType="begin"/>
    </w:r>
    <w:r w:rsidRPr="00E77A7E">
      <w:rPr>
        <w:rStyle w:val="Numrodepage"/>
        <w:b/>
      </w:rPr>
      <w:instrText xml:space="preserve"> PAGE </w:instrText>
    </w:r>
    <w:r w:rsidRPr="00E77A7E">
      <w:rPr>
        <w:rStyle w:val="Numrodepage"/>
        <w:b/>
      </w:rPr>
      <w:fldChar w:fldCharType="separate"/>
    </w:r>
    <w:r w:rsidR="002452B8">
      <w:rPr>
        <w:rStyle w:val="Numrodepage"/>
        <w:b/>
        <w:noProof/>
      </w:rPr>
      <w:t>1</w:t>
    </w:r>
    <w:r w:rsidRPr="00E77A7E">
      <w:rPr>
        <w:rStyle w:val="Numrodepage"/>
        <w: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B6638" w14:textId="77777777" w:rsidR="00C819F2" w:rsidRDefault="00C819F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7FEE3" w14:textId="77777777" w:rsidR="000A0246" w:rsidRDefault="000A0246" w:rsidP="008D517A">
      <w:pPr>
        <w:spacing w:line="240" w:lineRule="auto"/>
      </w:pPr>
      <w:r>
        <w:separator/>
      </w:r>
    </w:p>
  </w:footnote>
  <w:footnote w:type="continuationSeparator" w:id="0">
    <w:p w14:paraId="22989D7E" w14:textId="77777777" w:rsidR="000A0246" w:rsidRDefault="000A0246" w:rsidP="008D517A">
      <w:pPr>
        <w:spacing w:line="240" w:lineRule="auto"/>
      </w:pPr>
      <w:r>
        <w:continuationSeparator/>
      </w:r>
    </w:p>
  </w:footnote>
  <w:footnote w:type="continuationNotice" w:id="1">
    <w:p w14:paraId="235D75E4" w14:textId="77777777" w:rsidR="000A0246" w:rsidRDefault="000A024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87F74" w14:textId="77777777" w:rsidR="00C819F2" w:rsidRDefault="00C819F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4697A" w14:textId="77777777" w:rsidR="00C819F2" w:rsidRDefault="00C819F2">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92F84" w14:textId="77777777" w:rsidR="00C819F2" w:rsidRDefault="00C819F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29.25pt;height:24pt;visibility:visible;mso-wrap-style:square" o:bullet="t">
        <v:imagedata r:id="rId1" o:title=""/>
      </v:shape>
    </w:pict>
  </w:numPicBullet>
  <w:abstractNum w:abstractNumId="0" w15:restartNumberingAfterBreak="0">
    <w:nsid w:val="FFFFFF7C"/>
    <w:multiLevelType w:val="singleLevel"/>
    <w:tmpl w:val="918643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7A806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206E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132BB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9AEFF5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BCA395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1F86CD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7215B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A3EED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9DED4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0F24DE"/>
    <w:multiLevelType w:val="hybridMultilevel"/>
    <w:tmpl w:val="4C6A080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1245C99"/>
    <w:multiLevelType w:val="hybridMultilevel"/>
    <w:tmpl w:val="2466AD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B7D2E69"/>
    <w:multiLevelType w:val="hybridMultilevel"/>
    <w:tmpl w:val="3B9A0A42"/>
    <w:lvl w:ilvl="0" w:tplc="040C0001">
      <w:start w:val="1"/>
      <w:numFmt w:val="bullet"/>
      <w:lvlText w:val=""/>
      <w:lvlJc w:val="left"/>
      <w:pPr>
        <w:ind w:left="750" w:hanging="39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94545C5"/>
    <w:multiLevelType w:val="hybridMultilevel"/>
    <w:tmpl w:val="7878390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72660B07"/>
    <w:multiLevelType w:val="hybridMultilevel"/>
    <w:tmpl w:val="CD9455A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78DD0AA0"/>
    <w:multiLevelType w:val="hybridMultilevel"/>
    <w:tmpl w:val="053055F2"/>
    <w:lvl w:ilvl="0" w:tplc="6F78AD7C">
      <w:numFmt w:val="bullet"/>
      <w:lvlText w:val="-"/>
      <w:lvlJc w:val="left"/>
      <w:pPr>
        <w:ind w:left="750" w:hanging="39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1"/>
  </w:num>
  <w:num w:numId="12">
    <w:abstractNumId w:val="15"/>
  </w:num>
  <w:num w:numId="13">
    <w:abstractNumId w:val="12"/>
  </w:num>
  <w:num w:numId="14">
    <w:abstractNumId w:val="10"/>
  </w:num>
  <w:num w:numId="15">
    <w:abstractNumId w:val="13"/>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fr-FR" w:vendorID="64" w:dllVersion="0" w:nlCheck="1" w:checkStyle="0"/>
  <w:proofState w:spelling="clean" w:grammar="clean"/>
  <w:attachedTemplate r:id="rId1"/>
  <w:defaultTabStop w:val="708"/>
  <w:hyphenationZone w:val="425"/>
  <w:drawingGridHorizontalSpacing w:val="110"/>
  <w:displayHorizontalDrawingGridEvery w:val="2"/>
  <w:displayVerticalDrawingGridEvery w:val="2"/>
  <w:doNotShadeFormData/>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B02"/>
    <w:rsid w:val="000013F5"/>
    <w:rsid w:val="0001001E"/>
    <w:rsid w:val="0002284A"/>
    <w:rsid w:val="00024DEB"/>
    <w:rsid w:val="000265B2"/>
    <w:rsid w:val="0002717B"/>
    <w:rsid w:val="000361D0"/>
    <w:rsid w:val="000374D0"/>
    <w:rsid w:val="00037588"/>
    <w:rsid w:val="00041B9C"/>
    <w:rsid w:val="00044399"/>
    <w:rsid w:val="00052C34"/>
    <w:rsid w:val="000656EC"/>
    <w:rsid w:val="000A0246"/>
    <w:rsid w:val="000A24D7"/>
    <w:rsid w:val="000A7615"/>
    <w:rsid w:val="000B2D57"/>
    <w:rsid w:val="000B5424"/>
    <w:rsid w:val="000C0C13"/>
    <w:rsid w:val="000C4971"/>
    <w:rsid w:val="000D1748"/>
    <w:rsid w:val="000E036D"/>
    <w:rsid w:val="000E7D64"/>
    <w:rsid w:val="000F2BF6"/>
    <w:rsid w:val="000F3535"/>
    <w:rsid w:val="000F42AB"/>
    <w:rsid w:val="000F7F9F"/>
    <w:rsid w:val="00103FA0"/>
    <w:rsid w:val="00105154"/>
    <w:rsid w:val="0011403C"/>
    <w:rsid w:val="001271A6"/>
    <w:rsid w:val="00147D8E"/>
    <w:rsid w:val="00152E39"/>
    <w:rsid w:val="00154C71"/>
    <w:rsid w:val="001644DD"/>
    <w:rsid w:val="001672E6"/>
    <w:rsid w:val="00167D63"/>
    <w:rsid w:val="00171307"/>
    <w:rsid w:val="00172579"/>
    <w:rsid w:val="00173752"/>
    <w:rsid w:val="00180705"/>
    <w:rsid w:val="00181C1D"/>
    <w:rsid w:val="00192242"/>
    <w:rsid w:val="001A2735"/>
    <w:rsid w:val="001A51F7"/>
    <w:rsid w:val="001B6D00"/>
    <w:rsid w:val="001C41EA"/>
    <w:rsid w:val="001C4351"/>
    <w:rsid w:val="001D49B5"/>
    <w:rsid w:val="001D52A7"/>
    <w:rsid w:val="001E5DB0"/>
    <w:rsid w:val="001E664F"/>
    <w:rsid w:val="002028DD"/>
    <w:rsid w:val="002161C3"/>
    <w:rsid w:val="002250E3"/>
    <w:rsid w:val="002275E2"/>
    <w:rsid w:val="002323B0"/>
    <w:rsid w:val="0023336C"/>
    <w:rsid w:val="00237D29"/>
    <w:rsid w:val="002452B8"/>
    <w:rsid w:val="00252847"/>
    <w:rsid w:val="00257526"/>
    <w:rsid w:val="0026176E"/>
    <w:rsid w:val="00261B5C"/>
    <w:rsid w:val="002627FE"/>
    <w:rsid w:val="00262C97"/>
    <w:rsid w:val="002639A8"/>
    <w:rsid w:val="00264117"/>
    <w:rsid w:val="00264A36"/>
    <w:rsid w:val="00266F5E"/>
    <w:rsid w:val="002718B7"/>
    <w:rsid w:val="00286770"/>
    <w:rsid w:val="00293E0C"/>
    <w:rsid w:val="002B27D0"/>
    <w:rsid w:val="002C4904"/>
    <w:rsid w:val="002D149A"/>
    <w:rsid w:val="002D6452"/>
    <w:rsid w:val="002F4A34"/>
    <w:rsid w:val="002F64BE"/>
    <w:rsid w:val="002F71D8"/>
    <w:rsid w:val="0030363F"/>
    <w:rsid w:val="00303E20"/>
    <w:rsid w:val="00307173"/>
    <w:rsid w:val="00310F1A"/>
    <w:rsid w:val="00313626"/>
    <w:rsid w:val="0031639B"/>
    <w:rsid w:val="00321196"/>
    <w:rsid w:val="0032373B"/>
    <w:rsid w:val="003336C0"/>
    <w:rsid w:val="003351DD"/>
    <w:rsid w:val="00345D37"/>
    <w:rsid w:val="00357794"/>
    <w:rsid w:val="00361B84"/>
    <w:rsid w:val="00364D74"/>
    <w:rsid w:val="00374673"/>
    <w:rsid w:val="00386300"/>
    <w:rsid w:val="00393CA6"/>
    <w:rsid w:val="003977F1"/>
    <w:rsid w:val="003A098C"/>
    <w:rsid w:val="003A428B"/>
    <w:rsid w:val="003A788C"/>
    <w:rsid w:val="003C3502"/>
    <w:rsid w:val="003C6297"/>
    <w:rsid w:val="003F5194"/>
    <w:rsid w:val="00400766"/>
    <w:rsid w:val="00401FCC"/>
    <w:rsid w:val="004071F6"/>
    <w:rsid w:val="00413A0C"/>
    <w:rsid w:val="004217DC"/>
    <w:rsid w:val="00425D8B"/>
    <w:rsid w:val="00432C08"/>
    <w:rsid w:val="004369AF"/>
    <w:rsid w:val="0044219E"/>
    <w:rsid w:val="00442E17"/>
    <w:rsid w:val="0044654C"/>
    <w:rsid w:val="0045216F"/>
    <w:rsid w:val="004552A0"/>
    <w:rsid w:val="00455657"/>
    <w:rsid w:val="00457BDD"/>
    <w:rsid w:val="00460E30"/>
    <w:rsid w:val="0046340A"/>
    <w:rsid w:val="0047136A"/>
    <w:rsid w:val="0048107B"/>
    <w:rsid w:val="00486DCD"/>
    <w:rsid w:val="00491D59"/>
    <w:rsid w:val="004953F3"/>
    <w:rsid w:val="00496335"/>
    <w:rsid w:val="004B0D8E"/>
    <w:rsid w:val="004C3372"/>
    <w:rsid w:val="004D6B70"/>
    <w:rsid w:val="004E2586"/>
    <w:rsid w:val="004F21A7"/>
    <w:rsid w:val="004F3D05"/>
    <w:rsid w:val="004F6EA9"/>
    <w:rsid w:val="0050384B"/>
    <w:rsid w:val="005038CB"/>
    <w:rsid w:val="0050541F"/>
    <w:rsid w:val="00511FE6"/>
    <w:rsid w:val="005128E4"/>
    <w:rsid w:val="00513762"/>
    <w:rsid w:val="005165BF"/>
    <w:rsid w:val="00527C03"/>
    <w:rsid w:val="00532230"/>
    <w:rsid w:val="00532784"/>
    <w:rsid w:val="005335C0"/>
    <w:rsid w:val="00536B8A"/>
    <w:rsid w:val="00544345"/>
    <w:rsid w:val="00545259"/>
    <w:rsid w:val="00547843"/>
    <w:rsid w:val="00551AF9"/>
    <w:rsid w:val="0055257E"/>
    <w:rsid w:val="005702CC"/>
    <w:rsid w:val="00574152"/>
    <w:rsid w:val="00577248"/>
    <w:rsid w:val="005775C3"/>
    <w:rsid w:val="0058420D"/>
    <w:rsid w:val="00586E00"/>
    <w:rsid w:val="005900F5"/>
    <w:rsid w:val="005A068F"/>
    <w:rsid w:val="005A7865"/>
    <w:rsid w:val="005C775F"/>
    <w:rsid w:val="005D384D"/>
    <w:rsid w:val="005D4B09"/>
    <w:rsid w:val="005E4423"/>
    <w:rsid w:val="00601D4C"/>
    <w:rsid w:val="00604FE5"/>
    <w:rsid w:val="006100B5"/>
    <w:rsid w:val="0061682B"/>
    <w:rsid w:val="00616DA8"/>
    <w:rsid w:val="00625278"/>
    <w:rsid w:val="00627AF1"/>
    <w:rsid w:val="00631426"/>
    <w:rsid w:val="00646166"/>
    <w:rsid w:val="00646E97"/>
    <w:rsid w:val="00651E4B"/>
    <w:rsid w:val="0065261A"/>
    <w:rsid w:val="00655A10"/>
    <w:rsid w:val="00661DC3"/>
    <w:rsid w:val="00664D7E"/>
    <w:rsid w:val="00670291"/>
    <w:rsid w:val="00673219"/>
    <w:rsid w:val="006921E1"/>
    <w:rsid w:val="006A3571"/>
    <w:rsid w:val="006A3EB9"/>
    <w:rsid w:val="006A3FBC"/>
    <w:rsid w:val="006A4F95"/>
    <w:rsid w:val="006B2794"/>
    <w:rsid w:val="006B3E39"/>
    <w:rsid w:val="006B5C7E"/>
    <w:rsid w:val="006C0772"/>
    <w:rsid w:val="006C1EE6"/>
    <w:rsid w:val="006C421C"/>
    <w:rsid w:val="006D253F"/>
    <w:rsid w:val="006E27BF"/>
    <w:rsid w:val="0070370B"/>
    <w:rsid w:val="00704BD7"/>
    <w:rsid w:val="00704F17"/>
    <w:rsid w:val="0071784D"/>
    <w:rsid w:val="00724C54"/>
    <w:rsid w:val="007338F2"/>
    <w:rsid w:val="007467E2"/>
    <w:rsid w:val="00746933"/>
    <w:rsid w:val="00750A08"/>
    <w:rsid w:val="00760D22"/>
    <w:rsid w:val="00764764"/>
    <w:rsid w:val="0076695D"/>
    <w:rsid w:val="007723F7"/>
    <w:rsid w:val="0078432B"/>
    <w:rsid w:val="00785B62"/>
    <w:rsid w:val="00786052"/>
    <w:rsid w:val="0079035F"/>
    <w:rsid w:val="00793801"/>
    <w:rsid w:val="007B4613"/>
    <w:rsid w:val="007C729D"/>
    <w:rsid w:val="007D1F69"/>
    <w:rsid w:val="007E317D"/>
    <w:rsid w:val="007E7A5C"/>
    <w:rsid w:val="008001C7"/>
    <w:rsid w:val="00800AF8"/>
    <w:rsid w:val="0080313B"/>
    <w:rsid w:val="0080789D"/>
    <w:rsid w:val="008124BD"/>
    <w:rsid w:val="00814E4E"/>
    <w:rsid w:val="00815B14"/>
    <w:rsid w:val="00817F27"/>
    <w:rsid w:val="00825FE5"/>
    <w:rsid w:val="00834965"/>
    <w:rsid w:val="00844956"/>
    <w:rsid w:val="008647D0"/>
    <w:rsid w:val="00870697"/>
    <w:rsid w:val="0087375D"/>
    <w:rsid w:val="00877117"/>
    <w:rsid w:val="00882C80"/>
    <w:rsid w:val="008A1E80"/>
    <w:rsid w:val="008A2C48"/>
    <w:rsid w:val="008A3923"/>
    <w:rsid w:val="008A412B"/>
    <w:rsid w:val="008C14AE"/>
    <w:rsid w:val="008C4B2B"/>
    <w:rsid w:val="008C7556"/>
    <w:rsid w:val="008D517A"/>
    <w:rsid w:val="008F1957"/>
    <w:rsid w:val="008F2A13"/>
    <w:rsid w:val="0091134D"/>
    <w:rsid w:val="0091392D"/>
    <w:rsid w:val="00921737"/>
    <w:rsid w:val="00930102"/>
    <w:rsid w:val="0093122C"/>
    <w:rsid w:val="00932BC6"/>
    <w:rsid w:val="00932F50"/>
    <w:rsid w:val="0093463E"/>
    <w:rsid w:val="0094563F"/>
    <w:rsid w:val="009546BE"/>
    <w:rsid w:val="00955A84"/>
    <w:rsid w:val="00965ABE"/>
    <w:rsid w:val="0097047A"/>
    <w:rsid w:val="00973DC7"/>
    <w:rsid w:val="00985D7B"/>
    <w:rsid w:val="009968C5"/>
    <w:rsid w:val="009A23AB"/>
    <w:rsid w:val="009B74CC"/>
    <w:rsid w:val="009B751A"/>
    <w:rsid w:val="009C3564"/>
    <w:rsid w:val="009D180E"/>
    <w:rsid w:val="009D45CC"/>
    <w:rsid w:val="009E1551"/>
    <w:rsid w:val="00A0417E"/>
    <w:rsid w:val="00A07520"/>
    <w:rsid w:val="00A136B9"/>
    <w:rsid w:val="00A31144"/>
    <w:rsid w:val="00A32C94"/>
    <w:rsid w:val="00A43A45"/>
    <w:rsid w:val="00A44102"/>
    <w:rsid w:val="00A47D02"/>
    <w:rsid w:val="00A513D2"/>
    <w:rsid w:val="00A54C6E"/>
    <w:rsid w:val="00A55C65"/>
    <w:rsid w:val="00A56999"/>
    <w:rsid w:val="00A60DB6"/>
    <w:rsid w:val="00A61E98"/>
    <w:rsid w:val="00A65F1C"/>
    <w:rsid w:val="00A67B02"/>
    <w:rsid w:val="00A873BB"/>
    <w:rsid w:val="00A92434"/>
    <w:rsid w:val="00A967BE"/>
    <w:rsid w:val="00AA07AC"/>
    <w:rsid w:val="00AA2DA4"/>
    <w:rsid w:val="00AB0CE7"/>
    <w:rsid w:val="00AB37FA"/>
    <w:rsid w:val="00AB42E3"/>
    <w:rsid w:val="00AB5340"/>
    <w:rsid w:val="00AB691B"/>
    <w:rsid w:val="00AD411D"/>
    <w:rsid w:val="00AE1973"/>
    <w:rsid w:val="00AE35B3"/>
    <w:rsid w:val="00AF0209"/>
    <w:rsid w:val="00B137C0"/>
    <w:rsid w:val="00B27332"/>
    <w:rsid w:val="00B32F4C"/>
    <w:rsid w:val="00B51908"/>
    <w:rsid w:val="00B546A4"/>
    <w:rsid w:val="00B64F18"/>
    <w:rsid w:val="00B70FEF"/>
    <w:rsid w:val="00B756A3"/>
    <w:rsid w:val="00B77A7F"/>
    <w:rsid w:val="00B77D30"/>
    <w:rsid w:val="00B80800"/>
    <w:rsid w:val="00B8402A"/>
    <w:rsid w:val="00B875EE"/>
    <w:rsid w:val="00B92FB1"/>
    <w:rsid w:val="00BB2ADD"/>
    <w:rsid w:val="00BB2C1A"/>
    <w:rsid w:val="00BB3526"/>
    <w:rsid w:val="00BB3B05"/>
    <w:rsid w:val="00BB7CB5"/>
    <w:rsid w:val="00BC0EC7"/>
    <w:rsid w:val="00BC21A9"/>
    <w:rsid w:val="00BC5CCA"/>
    <w:rsid w:val="00BD15F6"/>
    <w:rsid w:val="00BD417E"/>
    <w:rsid w:val="00BF0CDB"/>
    <w:rsid w:val="00BF5131"/>
    <w:rsid w:val="00BF7418"/>
    <w:rsid w:val="00C02309"/>
    <w:rsid w:val="00C109BC"/>
    <w:rsid w:val="00C10E75"/>
    <w:rsid w:val="00C12CB6"/>
    <w:rsid w:val="00C137CC"/>
    <w:rsid w:val="00C21B90"/>
    <w:rsid w:val="00C234E2"/>
    <w:rsid w:val="00C259C0"/>
    <w:rsid w:val="00C31F14"/>
    <w:rsid w:val="00C37BB0"/>
    <w:rsid w:val="00C40990"/>
    <w:rsid w:val="00C44033"/>
    <w:rsid w:val="00C52622"/>
    <w:rsid w:val="00C555F9"/>
    <w:rsid w:val="00C62A3C"/>
    <w:rsid w:val="00C802A0"/>
    <w:rsid w:val="00C80CCB"/>
    <w:rsid w:val="00C819F2"/>
    <w:rsid w:val="00C85919"/>
    <w:rsid w:val="00CA58E2"/>
    <w:rsid w:val="00CC6BB5"/>
    <w:rsid w:val="00CD010F"/>
    <w:rsid w:val="00CD2F5A"/>
    <w:rsid w:val="00CD416D"/>
    <w:rsid w:val="00CF2F94"/>
    <w:rsid w:val="00CF5707"/>
    <w:rsid w:val="00D06032"/>
    <w:rsid w:val="00D12843"/>
    <w:rsid w:val="00D17671"/>
    <w:rsid w:val="00D2173E"/>
    <w:rsid w:val="00D22CFE"/>
    <w:rsid w:val="00D265D9"/>
    <w:rsid w:val="00D302DD"/>
    <w:rsid w:val="00D340BD"/>
    <w:rsid w:val="00D43746"/>
    <w:rsid w:val="00D4506E"/>
    <w:rsid w:val="00D54C2A"/>
    <w:rsid w:val="00D573D7"/>
    <w:rsid w:val="00D64DDE"/>
    <w:rsid w:val="00D81B9D"/>
    <w:rsid w:val="00D83FD5"/>
    <w:rsid w:val="00D84AC9"/>
    <w:rsid w:val="00D8583F"/>
    <w:rsid w:val="00D93D91"/>
    <w:rsid w:val="00D94346"/>
    <w:rsid w:val="00DA27E1"/>
    <w:rsid w:val="00DA7BF9"/>
    <w:rsid w:val="00DB5205"/>
    <w:rsid w:val="00DB71CF"/>
    <w:rsid w:val="00DC0DD7"/>
    <w:rsid w:val="00DC699B"/>
    <w:rsid w:val="00DD337B"/>
    <w:rsid w:val="00DD3F88"/>
    <w:rsid w:val="00DE2784"/>
    <w:rsid w:val="00DE72B9"/>
    <w:rsid w:val="00DF4C20"/>
    <w:rsid w:val="00E023EF"/>
    <w:rsid w:val="00E032A5"/>
    <w:rsid w:val="00E04E1D"/>
    <w:rsid w:val="00E1707F"/>
    <w:rsid w:val="00E21727"/>
    <w:rsid w:val="00E329C2"/>
    <w:rsid w:val="00E342FD"/>
    <w:rsid w:val="00E417C8"/>
    <w:rsid w:val="00E46447"/>
    <w:rsid w:val="00E5076F"/>
    <w:rsid w:val="00E57B92"/>
    <w:rsid w:val="00E64680"/>
    <w:rsid w:val="00E77A7E"/>
    <w:rsid w:val="00E80B1F"/>
    <w:rsid w:val="00E82B5F"/>
    <w:rsid w:val="00EA3C10"/>
    <w:rsid w:val="00EB030D"/>
    <w:rsid w:val="00EC4785"/>
    <w:rsid w:val="00EF2278"/>
    <w:rsid w:val="00F00F5A"/>
    <w:rsid w:val="00F01C60"/>
    <w:rsid w:val="00F0309D"/>
    <w:rsid w:val="00F05218"/>
    <w:rsid w:val="00F113DC"/>
    <w:rsid w:val="00F1782C"/>
    <w:rsid w:val="00F27160"/>
    <w:rsid w:val="00F31EA0"/>
    <w:rsid w:val="00F41E1B"/>
    <w:rsid w:val="00F42EED"/>
    <w:rsid w:val="00F50726"/>
    <w:rsid w:val="00F5219A"/>
    <w:rsid w:val="00F64240"/>
    <w:rsid w:val="00F7586F"/>
    <w:rsid w:val="00F76160"/>
    <w:rsid w:val="00F868F2"/>
    <w:rsid w:val="00FB0427"/>
    <w:rsid w:val="00FB2149"/>
    <w:rsid w:val="00FB2A4C"/>
    <w:rsid w:val="00FB5D34"/>
    <w:rsid w:val="00FB68CB"/>
    <w:rsid w:val="00FC0551"/>
    <w:rsid w:val="00FC0C76"/>
    <w:rsid w:val="00FC12CB"/>
    <w:rsid w:val="00FD21FC"/>
    <w:rsid w:val="00FD29F1"/>
    <w:rsid w:val="00FD6CFC"/>
    <w:rsid w:val="00FD70F6"/>
    <w:rsid w:val="00FE1596"/>
    <w:rsid w:val="00FE4536"/>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B8AE1A8"/>
  <w15:docId w15:val="{2062D8BF-BBDE-435F-8495-BC8AC37A6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6">
    <w:lsdException w:name="Normal" w:uiPriority="3"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lsdException w:name="Block Text" w:semiHidden="1"/>
    <w:lsdException w:name="Hyperlink" w:semiHidden="1" w:unhideWhenUsed="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
    <w:qFormat/>
    <w:rsid w:val="006921E1"/>
    <w:pPr>
      <w:spacing w:line="252" w:lineRule="auto"/>
    </w:pPr>
    <w:rPr>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rsid w:val="0061682B"/>
  </w:style>
  <w:style w:type="character" w:customStyle="1" w:styleId="En-tteCar">
    <w:name w:val="En-tête Car"/>
    <w:basedOn w:val="Policepardfaut"/>
    <w:link w:val="En-tte"/>
    <w:uiPriority w:val="99"/>
    <w:semiHidden/>
    <w:rsid w:val="00FB5D34"/>
    <w:rPr>
      <w:sz w:val="20"/>
    </w:rPr>
  </w:style>
  <w:style w:type="paragraph" w:styleId="Pieddepage">
    <w:name w:val="footer"/>
    <w:basedOn w:val="Normal"/>
    <w:link w:val="PieddepageCar"/>
    <w:uiPriority w:val="99"/>
    <w:semiHidden/>
    <w:rsid w:val="00C85919"/>
    <w:rPr>
      <w:color w:val="F01E1E" w:themeColor="text2"/>
    </w:rPr>
  </w:style>
  <w:style w:type="character" w:customStyle="1" w:styleId="PieddepageCar">
    <w:name w:val="Pied de page Car"/>
    <w:basedOn w:val="Policepardfaut"/>
    <w:link w:val="Pieddepage"/>
    <w:uiPriority w:val="99"/>
    <w:semiHidden/>
    <w:rsid w:val="00C85919"/>
    <w:rPr>
      <w:color w:val="F01E1E" w:themeColor="text2"/>
      <w:sz w:val="20"/>
    </w:rPr>
  </w:style>
  <w:style w:type="character" w:styleId="Numrodepage">
    <w:name w:val="page number"/>
    <w:basedOn w:val="Policepardfaut"/>
    <w:uiPriority w:val="99"/>
    <w:semiHidden/>
    <w:rsid w:val="00F1782C"/>
    <w:rPr>
      <w:color w:val="F01E1E" w:themeColor="text2"/>
    </w:rPr>
  </w:style>
  <w:style w:type="paragraph" w:customStyle="1" w:styleId="CdDTitre">
    <w:name w:val="CdD_Titre"/>
    <w:basedOn w:val="Normal"/>
    <w:next w:val="Normal"/>
    <w:uiPriority w:val="1"/>
    <w:qFormat/>
    <w:rsid w:val="00EF2278"/>
    <w:pPr>
      <w:keepNext/>
      <w:spacing w:after="360" w:line="340" w:lineRule="exact"/>
      <w:outlineLvl w:val="0"/>
    </w:pPr>
    <w:rPr>
      <w:b/>
      <w:sz w:val="28"/>
      <w:szCs w:val="28"/>
    </w:rPr>
  </w:style>
  <w:style w:type="character" w:styleId="Lienhypertexte">
    <w:name w:val="Hyperlink"/>
    <w:basedOn w:val="Policepardfaut"/>
    <w:uiPriority w:val="99"/>
    <w:semiHidden/>
    <w:rsid w:val="00651E4B"/>
    <w:rPr>
      <w:color w:val="F01E1E" w:themeColor="hyperlink"/>
      <w:u w:val="none"/>
    </w:rPr>
  </w:style>
  <w:style w:type="paragraph" w:customStyle="1" w:styleId="CdDFilet">
    <w:name w:val="CdD_Filet"/>
    <w:basedOn w:val="Normal"/>
    <w:next w:val="Normal"/>
    <w:uiPriority w:val="7"/>
    <w:qFormat/>
    <w:rsid w:val="00C85919"/>
    <w:pPr>
      <w:pBdr>
        <w:bottom w:val="single" w:sz="8" w:space="1" w:color="D9D9D9" w:themeColor="background1" w:themeShade="D9"/>
      </w:pBdr>
      <w:spacing w:before="60" w:after="360"/>
    </w:pPr>
  </w:style>
  <w:style w:type="paragraph" w:customStyle="1" w:styleId="CdDpropos">
    <w:name w:val="CdD_À propos"/>
    <w:basedOn w:val="Normal"/>
    <w:next w:val="CdDproposTexte"/>
    <w:uiPriority w:val="4"/>
    <w:qFormat/>
    <w:rsid w:val="00357794"/>
    <w:pPr>
      <w:keepNext/>
    </w:pPr>
    <w:rPr>
      <w:b/>
      <w:color w:val="F01E1E" w:themeColor="text2"/>
      <w:sz w:val="18"/>
      <w:szCs w:val="18"/>
    </w:rPr>
  </w:style>
  <w:style w:type="paragraph" w:customStyle="1" w:styleId="CdDproposTexte">
    <w:name w:val="CdD_À propos Texte"/>
    <w:basedOn w:val="Normal"/>
    <w:uiPriority w:val="5"/>
    <w:qFormat/>
    <w:rsid w:val="00FB5D34"/>
    <w:rPr>
      <w:sz w:val="18"/>
      <w:szCs w:val="18"/>
    </w:rPr>
  </w:style>
  <w:style w:type="paragraph" w:customStyle="1" w:styleId="CdDChap">
    <w:name w:val="CdD_Chapô"/>
    <w:basedOn w:val="Normal"/>
    <w:uiPriority w:val="2"/>
    <w:qFormat/>
    <w:rsid w:val="00C85919"/>
    <w:rPr>
      <w:b/>
    </w:rPr>
  </w:style>
  <w:style w:type="table" w:styleId="Grilledutableau">
    <w:name w:val="Table Grid"/>
    <w:basedOn w:val="TableauNormal"/>
    <w:uiPriority w:val="59"/>
    <w:rsid w:val="003036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dDTitredudocument">
    <w:name w:val="CdD_Titre du document"/>
    <w:basedOn w:val="Normal"/>
    <w:qFormat/>
    <w:rsid w:val="002D149A"/>
    <w:pPr>
      <w:spacing w:line="240" w:lineRule="auto"/>
      <w:ind w:left="680"/>
    </w:pPr>
    <w:rPr>
      <w:b/>
      <w:color w:val="FFFFFF" w:themeColor="background1"/>
      <w:sz w:val="36"/>
      <w:szCs w:val="36"/>
    </w:rPr>
  </w:style>
  <w:style w:type="paragraph" w:customStyle="1" w:styleId="CdDContactpresse">
    <w:name w:val="CdD_Contact presse"/>
    <w:basedOn w:val="Normal"/>
    <w:uiPriority w:val="6"/>
    <w:qFormat/>
    <w:rsid w:val="00764764"/>
    <w:pPr>
      <w:keepNext/>
    </w:pPr>
    <w:rPr>
      <w:b/>
      <w:color w:val="F01E1E" w:themeColor="text2"/>
    </w:rPr>
  </w:style>
  <w:style w:type="paragraph" w:styleId="Textedebulles">
    <w:name w:val="Balloon Text"/>
    <w:basedOn w:val="Normal"/>
    <w:link w:val="TextedebullesCar"/>
    <w:uiPriority w:val="99"/>
    <w:semiHidden/>
    <w:rsid w:val="00532230"/>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32230"/>
    <w:rPr>
      <w:rFonts w:ascii="Segoe UI" w:hAnsi="Segoe UI" w:cs="Segoe UI"/>
      <w:sz w:val="18"/>
      <w:szCs w:val="18"/>
    </w:rPr>
  </w:style>
  <w:style w:type="character" w:styleId="lev">
    <w:name w:val="Strong"/>
    <w:uiPriority w:val="22"/>
    <w:qFormat/>
    <w:rsid w:val="00F05218"/>
    <w:rPr>
      <w:b/>
      <w:bCs/>
    </w:rPr>
  </w:style>
  <w:style w:type="character" w:styleId="Mentionnonrsolue">
    <w:name w:val="Unresolved Mention"/>
    <w:basedOn w:val="Policepardfaut"/>
    <w:uiPriority w:val="99"/>
    <w:semiHidden/>
    <w:unhideWhenUsed/>
    <w:rsid w:val="00CD2F5A"/>
    <w:rPr>
      <w:color w:val="605E5C"/>
      <w:shd w:val="clear" w:color="auto" w:fill="E1DFDD"/>
    </w:rPr>
  </w:style>
  <w:style w:type="character" w:styleId="Marquedecommentaire">
    <w:name w:val="annotation reference"/>
    <w:basedOn w:val="Policepardfaut"/>
    <w:uiPriority w:val="99"/>
    <w:semiHidden/>
    <w:unhideWhenUsed/>
    <w:rsid w:val="0091134D"/>
    <w:rPr>
      <w:sz w:val="16"/>
      <w:szCs w:val="16"/>
    </w:rPr>
  </w:style>
  <w:style w:type="paragraph" w:styleId="Commentaire">
    <w:name w:val="annotation text"/>
    <w:basedOn w:val="Normal"/>
    <w:link w:val="CommentaireCar"/>
    <w:uiPriority w:val="99"/>
    <w:unhideWhenUsed/>
    <w:rsid w:val="0091134D"/>
    <w:pPr>
      <w:spacing w:line="240" w:lineRule="auto"/>
    </w:pPr>
    <w:rPr>
      <w:rFonts w:ascii="Cambria" w:eastAsia="Cambria" w:hAnsi="Cambria" w:cs="Times New Roman"/>
      <w:szCs w:val="20"/>
    </w:rPr>
  </w:style>
  <w:style w:type="character" w:customStyle="1" w:styleId="CommentaireCar">
    <w:name w:val="Commentaire Car"/>
    <w:basedOn w:val="Policepardfaut"/>
    <w:link w:val="Commentaire"/>
    <w:uiPriority w:val="99"/>
    <w:rsid w:val="0091134D"/>
    <w:rPr>
      <w:rFonts w:ascii="Cambria" w:eastAsia="Cambria" w:hAnsi="Cambria" w:cs="Times New Roman"/>
      <w:sz w:val="20"/>
      <w:szCs w:val="20"/>
    </w:rPr>
  </w:style>
  <w:style w:type="paragraph" w:styleId="NormalWeb">
    <w:name w:val="Normal (Web)"/>
    <w:basedOn w:val="Normal"/>
    <w:uiPriority w:val="99"/>
    <w:semiHidden/>
    <w:unhideWhenUsed/>
    <w:rsid w:val="0091134D"/>
    <w:pPr>
      <w:spacing w:line="240" w:lineRule="auto"/>
    </w:pPr>
    <w:rPr>
      <w:rFonts w:ascii="Calibri" w:hAnsi="Calibri" w:cs="Calibri"/>
      <w:sz w:val="22"/>
      <w:lang w:eastAsia="fr-FR"/>
    </w:rPr>
  </w:style>
  <w:style w:type="paragraph" w:styleId="Objetducommentaire">
    <w:name w:val="annotation subject"/>
    <w:basedOn w:val="Commentaire"/>
    <w:next w:val="Commentaire"/>
    <w:link w:val="ObjetducommentaireCar"/>
    <w:uiPriority w:val="99"/>
    <w:semiHidden/>
    <w:unhideWhenUsed/>
    <w:rsid w:val="004953F3"/>
    <w:rPr>
      <w:rFonts w:asciiTheme="minorHAnsi" w:eastAsiaTheme="minorHAnsi" w:hAnsiTheme="minorHAnsi" w:cstheme="minorBidi"/>
      <w:b/>
      <w:bCs/>
    </w:rPr>
  </w:style>
  <w:style w:type="character" w:customStyle="1" w:styleId="ObjetducommentaireCar">
    <w:name w:val="Objet du commentaire Car"/>
    <w:basedOn w:val="CommentaireCar"/>
    <w:link w:val="Objetducommentaire"/>
    <w:uiPriority w:val="99"/>
    <w:semiHidden/>
    <w:rsid w:val="004953F3"/>
    <w:rPr>
      <w:rFonts w:ascii="Cambria" w:eastAsia="Cambria" w:hAnsi="Cambria" w:cs="Times New Roman"/>
      <w:b/>
      <w:bCs/>
      <w:sz w:val="20"/>
      <w:szCs w:val="20"/>
    </w:rPr>
  </w:style>
  <w:style w:type="paragraph" w:styleId="Rvision">
    <w:name w:val="Revision"/>
    <w:hidden/>
    <w:uiPriority w:val="99"/>
    <w:semiHidden/>
    <w:rsid w:val="00A43A45"/>
    <w:rPr>
      <w:sz w:val="20"/>
    </w:rPr>
  </w:style>
  <w:style w:type="paragraph" w:styleId="Notedefin">
    <w:name w:val="endnote text"/>
    <w:basedOn w:val="Normal"/>
    <w:link w:val="NotedefinCar"/>
    <w:uiPriority w:val="99"/>
    <w:semiHidden/>
    <w:unhideWhenUsed/>
    <w:rsid w:val="00A43A45"/>
    <w:pPr>
      <w:spacing w:line="240" w:lineRule="auto"/>
    </w:pPr>
    <w:rPr>
      <w:szCs w:val="20"/>
    </w:rPr>
  </w:style>
  <w:style w:type="character" w:customStyle="1" w:styleId="NotedefinCar">
    <w:name w:val="Note de fin Car"/>
    <w:basedOn w:val="Policepardfaut"/>
    <w:link w:val="Notedefin"/>
    <w:uiPriority w:val="99"/>
    <w:semiHidden/>
    <w:rsid w:val="00A43A45"/>
    <w:rPr>
      <w:sz w:val="20"/>
      <w:szCs w:val="20"/>
    </w:rPr>
  </w:style>
  <w:style w:type="character" w:styleId="Appeldenotedefin">
    <w:name w:val="endnote reference"/>
    <w:basedOn w:val="Policepardfaut"/>
    <w:uiPriority w:val="99"/>
    <w:semiHidden/>
    <w:unhideWhenUsed/>
    <w:rsid w:val="00A43A45"/>
    <w:rPr>
      <w:vertAlign w:val="superscript"/>
    </w:rPr>
  </w:style>
  <w:style w:type="paragraph" w:styleId="Notedebasdepage">
    <w:name w:val="footnote text"/>
    <w:basedOn w:val="Normal"/>
    <w:link w:val="NotedebasdepageCar"/>
    <w:uiPriority w:val="99"/>
    <w:semiHidden/>
    <w:unhideWhenUsed/>
    <w:rsid w:val="00A43A45"/>
    <w:pPr>
      <w:spacing w:line="240" w:lineRule="auto"/>
    </w:pPr>
    <w:rPr>
      <w:szCs w:val="20"/>
    </w:rPr>
  </w:style>
  <w:style w:type="character" w:customStyle="1" w:styleId="NotedebasdepageCar">
    <w:name w:val="Note de bas de page Car"/>
    <w:basedOn w:val="Policepardfaut"/>
    <w:link w:val="Notedebasdepage"/>
    <w:uiPriority w:val="99"/>
    <w:semiHidden/>
    <w:rsid w:val="00A43A45"/>
    <w:rPr>
      <w:sz w:val="20"/>
      <w:szCs w:val="20"/>
    </w:rPr>
  </w:style>
  <w:style w:type="character" w:styleId="Appelnotedebasdep">
    <w:name w:val="footnote reference"/>
    <w:basedOn w:val="Policepardfaut"/>
    <w:uiPriority w:val="99"/>
    <w:semiHidden/>
    <w:unhideWhenUsed/>
    <w:rsid w:val="00A43A45"/>
    <w:rPr>
      <w:vertAlign w:val="superscript"/>
    </w:rPr>
  </w:style>
  <w:style w:type="character" w:styleId="Lienhypertextesuivivisit">
    <w:name w:val="FollowedHyperlink"/>
    <w:basedOn w:val="Policepardfaut"/>
    <w:uiPriority w:val="99"/>
    <w:semiHidden/>
    <w:unhideWhenUsed/>
    <w:rsid w:val="00C80CCB"/>
    <w:rPr>
      <w:color w:val="F01E1E" w:themeColor="followedHyperlink"/>
      <w:u w:val="single"/>
    </w:rPr>
  </w:style>
  <w:style w:type="paragraph" w:styleId="Paragraphedeliste">
    <w:name w:val="List Paragraph"/>
    <w:basedOn w:val="Normal"/>
    <w:uiPriority w:val="34"/>
    <w:qFormat/>
    <w:rsid w:val="00252847"/>
    <w:pPr>
      <w:spacing w:line="240" w:lineRule="auto"/>
      <w:ind w:left="720"/>
    </w:pPr>
    <w:rPr>
      <w:rFonts w:ascii="Calibri" w:hAnsi="Calibri" w:cs="Calibri"/>
      <w:sz w:val="22"/>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7325">
      <w:bodyDiv w:val="1"/>
      <w:marLeft w:val="0"/>
      <w:marRight w:val="0"/>
      <w:marTop w:val="0"/>
      <w:marBottom w:val="0"/>
      <w:divBdr>
        <w:top w:val="none" w:sz="0" w:space="0" w:color="auto"/>
        <w:left w:val="none" w:sz="0" w:space="0" w:color="auto"/>
        <w:bottom w:val="none" w:sz="0" w:space="0" w:color="auto"/>
        <w:right w:val="none" w:sz="0" w:space="0" w:color="auto"/>
      </w:divBdr>
    </w:div>
    <w:div w:id="69817405">
      <w:bodyDiv w:val="1"/>
      <w:marLeft w:val="0"/>
      <w:marRight w:val="0"/>
      <w:marTop w:val="0"/>
      <w:marBottom w:val="0"/>
      <w:divBdr>
        <w:top w:val="none" w:sz="0" w:space="0" w:color="auto"/>
        <w:left w:val="none" w:sz="0" w:space="0" w:color="auto"/>
        <w:bottom w:val="none" w:sz="0" w:space="0" w:color="auto"/>
        <w:right w:val="none" w:sz="0" w:space="0" w:color="auto"/>
      </w:divBdr>
    </w:div>
    <w:div w:id="184515207">
      <w:bodyDiv w:val="1"/>
      <w:marLeft w:val="0"/>
      <w:marRight w:val="0"/>
      <w:marTop w:val="0"/>
      <w:marBottom w:val="0"/>
      <w:divBdr>
        <w:top w:val="none" w:sz="0" w:space="0" w:color="auto"/>
        <w:left w:val="none" w:sz="0" w:space="0" w:color="auto"/>
        <w:bottom w:val="none" w:sz="0" w:space="0" w:color="auto"/>
        <w:right w:val="none" w:sz="0" w:space="0" w:color="auto"/>
      </w:divBdr>
    </w:div>
    <w:div w:id="1351221754">
      <w:bodyDiv w:val="1"/>
      <w:marLeft w:val="0"/>
      <w:marRight w:val="0"/>
      <w:marTop w:val="0"/>
      <w:marBottom w:val="0"/>
      <w:divBdr>
        <w:top w:val="none" w:sz="0" w:space="0" w:color="auto"/>
        <w:left w:val="none" w:sz="0" w:space="0" w:color="auto"/>
        <w:bottom w:val="none" w:sz="0" w:space="0" w:color="auto"/>
        <w:right w:val="none" w:sz="0" w:space="0" w:color="auto"/>
      </w:divBdr>
    </w:div>
    <w:div w:id="1499494863">
      <w:bodyDiv w:val="1"/>
      <w:marLeft w:val="0"/>
      <w:marRight w:val="0"/>
      <w:marTop w:val="0"/>
      <w:marBottom w:val="0"/>
      <w:divBdr>
        <w:top w:val="none" w:sz="0" w:space="0" w:color="auto"/>
        <w:left w:val="none" w:sz="0" w:space="0" w:color="auto"/>
        <w:bottom w:val="none" w:sz="0" w:space="0" w:color="auto"/>
        <w:right w:val="none" w:sz="0" w:space="0" w:color="auto"/>
      </w:divBdr>
    </w:div>
    <w:div w:id="1754619583">
      <w:bodyDiv w:val="1"/>
      <w:marLeft w:val="0"/>
      <w:marRight w:val="0"/>
      <w:marTop w:val="0"/>
      <w:marBottom w:val="0"/>
      <w:divBdr>
        <w:top w:val="none" w:sz="0" w:space="0" w:color="auto"/>
        <w:left w:val="none" w:sz="0" w:space="0" w:color="auto"/>
        <w:bottom w:val="none" w:sz="0" w:space="0" w:color="auto"/>
        <w:right w:val="none" w:sz="0" w:space="0" w:color="auto"/>
      </w:divBdr>
    </w:div>
    <w:div w:id="2014338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4.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caissedesdepots.f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ie-caroline.cardi@caissedesdepots.fr"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fontTable" Target="fontTable.xml"/><Relationship Id="rId10" Type="http://schemas.openxmlformats.org/officeDocument/2006/relationships/hyperlink" Target="https://politiques-sociales.caissedesdepots.fr/"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olitiques-sociales.caissedesdepots.fr/qps-les-etudes-ndeg38" TargetMode="External"/><Relationship Id="rId14" Type="http://schemas.openxmlformats.org/officeDocument/2006/relationships/image" Target="media/image5.png"/><Relationship Id="rId22"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sadoine\AppData\Local\Microsoft\Windows\Temporary%20Internet%20Files\Content.Outlook\UU7IJV0V\CDC_COMMUNIQUE_PRESSE_MASQUE_FEV_2019%20(002).dotx" TargetMode="External"/></Relationships>
</file>

<file path=word/theme/theme1.xml><?xml version="1.0" encoding="utf-8"?>
<a:theme xmlns:a="http://schemas.openxmlformats.org/drawingml/2006/main" name="Thème Office">
  <a:themeElements>
    <a:clrScheme name="Caisse des Dépôts - Word">
      <a:dk1>
        <a:sysClr val="windowText" lastClr="000000"/>
      </a:dk1>
      <a:lt1>
        <a:sysClr val="window" lastClr="FFFFFF"/>
      </a:lt1>
      <a:dk2>
        <a:srgbClr val="F01E1E"/>
      </a:dk2>
      <a:lt2>
        <a:srgbClr val="F2F2F2"/>
      </a:lt2>
      <a:accent1>
        <a:srgbClr val="F01E1E"/>
      </a:accent1>
      <a:accent2>
        <a:srgbClr val="820A41"/>
      </a:accent2>
      <a:accent3>
        <a:srgbClr val="003264"/>
      </a:accent3>
      <a:accent4>
        <a:srgbClr val="550055"/>
      </a:accent4>
      <a:accent5>
        <a:srgbClr val="006464"/>
      </a:accent5>
      <a:accent6>
        <a:srgbClr val="D7C3BE"/>
      </a:accent6>
      <a:hlink>
        <a:srgbClr val="F01E1E"/>
      </a:hlink>
      <a:folHlink>
        <a:srgbClr val="F01E1E"/>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15FE6E6-01F9-4C80-9AE7-8EE3783D849F}">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CDC_COMMUNIQUE_PRESSE_MASQUE_FEV_2019 (002).dotx</Template>
  <TotalTime>1</TotalTime>
  <Pages>2</Pages>
  <Words>685</Words>
  <Characters>3772</Characters>
  <Application>Microsoft Office Word</Application>
  <DocSecurity>4</DocSecurity>
  <Lines>31</Lines>
  <Paragraphs>8</Paragraphs>
  <ScaleCrop>false</ScaleCrop>
  <HeadingPairs>
    <vt:vector size="2" baseType="variant">
      <vt:variant>
        <vt:lpstr>Titre</vt:lpstr>
      </vt:variant>
      <vt:variant>
        <vt:i4>1</vt:i4>
      </vt:variant>
    </vt:vector>
  </HeadingPairs>
  <TitlesOfParts>
    <vt:vector size="1" baseType="lpstr">
      <vt:lpstr>Communiqué de presse</vt:lpstr>
    </vt:vector>
  </TitlesOfParts>
  <Manager/>
  <Company>Caisse des dépôts</Company>
  <LinksUpToDate>false</LinksUpToDate>
  <CharactersWithSpaces>4449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Communiqué de presse</dc:title>
  <dc:subject/>
  <dc:creator>Debeuré Revest, Agnès</dc:creator>
  <cp:keywords/>
  <dc:description/>
  <cp:lastModifiedBy>Enard, Olivier</cp:lastModifiedBy>
  <cp:revision>2</cp:revision>
  <cp:lastPrinted>2022-05-09T08:16:00Z</cp:lastPrinted>
  <dcterms:created xsi:type="dcterms:W3CDTF">2022-11-09T16:55:00Z</dcterms:created>
  <dcterms:modified xsi:type="dcterms:W3CDTF">2022-11-09T16:55:00Z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5861b9d-47cf-4fa9-b565-a0b0c80f812c_Enabled">
    <vt:lpwstr>True</vt:lpwstr>
  </property>
  <property fmtid="{D5CDD505-2E9C-101B-9397-08002B2CF9AE}" pid="3" name="MSIP_Label_95861b9d-47cf-4fa9-b565-a0b0c80f812c_SiteId">
    <vt:lpwstr>6eab6365-8194-49c6-a4d0-e2d1a0fbeb74</vt:lpwstr>
  </property>
  <property fmtid="{D5CDD505-2E9C-101B-9397-08002B2CF9AE}" pid="4" name="MSIP_Label_95861b9d-47cf-4fa9-b565-a0b0c80f812c_SetDate">
    <vt:lpwstr>2019-02-12T13:26:38.3682538Z</vt:lpwstr>
  </property>
  <property fmtid="{D5CDD505-2E9C-101B-9397-08002B2CF9AE}" pid="5" name="MSIP_Label_95861b9d-47cf-4fa9-b565-a0b0c80f812c_Name">
    <vt:lpwstr>CDC-Public</vt:lpwstr>
  </property>
  <property fmtid="{D5CDD505-2E9C-101B-9397-08002B2CF9AE}" pid="6" name="MSIP_Label_95861b9d-47cf-4fa9-b565-a0b0c80f812c_Extended_MSFT_Method">
    <vt:lpwstr>Manual</vt:lpwstr>
  </property>
  <property fmtid="{D5CDD505-2E9C-101B-9397-08002B2CF9AE}" pid="7" name="Sensitivity">
    <vt:lpwstr>CDC-Public</vt:lpwstr>
  </property>
</Properties>
</file>